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10" w:type="dxa"/>
          <w:right w:w="10" w:type="dxa"/>
        </w:tblCellMar>
        <w:tblLook w:val="04A0" w:firstRow="1" w:lastRow="0" w:firstColumn="1" w:lastColumn="0" w:noHBand="0" w:noVBand="1"/>
      </w:tblPr>
      <w:tblGrid>
        <w:gridCol w:w="2412"/>
        <w:gridCol w:w="1240"/>
        <w:gridCol w:w="3901"/>
        <w:gridCol w:w="1379"/>
        <w:gridCol w:w="1382"/>
      </w:tblGrid>
      <w:tr w:rsidR="00D6136B">
        <w:trPr>
          <w:trHeight w:val="1207"/>
        </w:trPr>
        <w:tc>
          <w:tcPr>
            <w:tcW w:w="2412" w:type="dxa"/>
            <w:vMerge w:val="restart"/>
            <w:tcBorders>
              <w:top w:val="threeDEmboss" w:sz="6" w:space="0" w:color="000000"/>
              <w:left w:val="threeDEmboss" w:sz="6" w:space="0" w:color="000000"/>
              <w:bottom w:val="threeDEngrave" w:sz="6" w:space="0" w:color="000000"/>
              <w:right w:val="single" w:sz="12" w:space="0" w:color="000000"/>
            </w:tcBorders>
            <w:shd w:val="clear" w:color="auto" w:fill="auto"/>
            <w:tcMar>
              <w:top w:w="0" w:type="dxa"/>
              <w:left w:w="108" w:type="dxa"/>
              <w:bottom w:w="0" w:type="dxa"/>
              <w:right w:w="108" w:type="dxa"/>
            </w:tcMar>
          </w:tcPr>
          <w:p w:rsidR="00D6136B" w:rsidRDefault="00D6136B">
            <w:pPr>
              <w:jc w:val="center"/>
              <w:rPr>
                <w:rFonts w:ascii="Arial" w:hAnsi="Arial" w:cs="Arial"/>
                <w:sz w:val="16"/>
                <w:szCs w:val="16"/>
              </w:rPr>
            </w:pPr>
          </w:p>
          <w:tbl>
            <w:tblPr>
              <w:tblW w:w="2196" w:type="dxa"/>
              <w:tblCellMar>
                <w:left w:w="10" w:type="dxa"/>
                <w:right w:w="10" w:type="dxa"/>
              </w:tblCellMar>
              <w:tblLook w:val="04A0" w:firstRow="1" w:lastRow="0" w:firstColumn="1" w:lastColumn="0" w:noHBand="0" w:noVBand="1"/>
            </w:tblPr>
            <w:tblGrid>
              <w:gridCol w:w="2196"/>
            </w:tblGrid>
            <w:tr w:rsidR="00D6136B">
              <w:trPr>
                <w:trHeight w:val="539"/>
              </w:trPr>
              <w:tc>
                <w:tcPr>
                  <w:tcW w:w="2196" w:type="dxa"/>
                  <w:tcBorders>
                    <w:top w:val="single" w:sz="18" w:space="0" w:color="0000FF"/>
                    <w:bottom w:val="single" w:sz="18" w:space="0" w:color="0000FF"/>
                  </w:tcBorders>
                  <w:shd w:val="clear" w:color="auto" w:fill="auto"/>
                  <w:tcMar>
                    <w:top w:w="0" w:type="dxa"/>
                    <w:left w:w="0" w:type="dxa"/>
                    <w:bottom w:w="0" w:type="dxa"/>
                    <w:right w:w="0" w:type="dxa"/>
                  </w:tcMar>
                </w:tcPr>
                <w:p w:rsidR="00D6136B" w:rsidRDefault="00A26B06">
                  <w:pPr>
                    <w:jc w:val="center"/>
                  </w:pPr>
                  <w:r>
                    <w:rPr>
                      <w:rFonts w:ascii="Arial" w:hAnsi="Arial" w:cs="Arial"/>
                      <w:b/>
                      <w:color w:val="0000FF"/>
                      <w:spacing w:val="42"/>
                      <w:w w:val="90"/>
                      <w:sz w:val="26"/>
                      <w:szCs w:val="26"/>
                    </w:rPr>
                    <w:t>MĚSTO HODONÍ</w:t>
                  </w:r>
                  <w:r>
                    <w:rPr>
                      <w:rFonts w:ascii="Arial" w:hAnsi="Arial" w:cs="Arial"/>
                      <w:b/>
                      <w:color w:val="0000FF"/>
                      <w:spacing w:val="11"/>
                      <w:w w:val="90"/>
                      <w:sz w:val="26"/>
                      <w:szCs w:val="26"/>
                    </w:rPr>
                    <w:t>N</w:t>
                  </w:r>
                </w:p>
              </w:tc>
            </w:tr>
          </w:tbl>
          <w:p w:rsidR="00D6136B" w:rsidRDefault="00A26B06">
            <w:pPr>
              <w:jc w:val="center"/>
              <w:rPr>
                <w:rFonts w:ascii="Arial" w:hAnsi="Arial" w:cs="Arial"/>
                <w:color w:val="0000FF"/>
                <w:spacing w:val="42"/>
                <w:w w:val="98"/>
                <w:sz w:val="20"/>
                <w:szCs w:val="20"/>
              </w:rPr>
            </w:pPr>
            <w:r>
              <w:rPr>
                <w:rFonts w:ascii="Arial" w:hAnsi="Arial" w:cs="Arial"/>
                <w:color w:val="0000FF"/>
                <w:spacing w:val="42"/>
                <w:w w:val="98"/>
                <w:sz w:val="20"/>
                <w:szCs w:val="20"/>
              </w:rPr>
              <w:t xml:space="preserve">Masarykovo </w:t>
            </w:r>
            <w:proofErr w:type="gramStart"/>
            <w:r>
              <w:rPr>
                <w:rFonts w:ascii="Arial" w:hAnsi="Arial" w:cs="Arial"/>
                <w:color w:val="0000FF"/>
                <w:spacing w:val="42"/>
                <w:w w:val="98"/>
                <w:sz w:val="20"/>
                <w:szCs w:val="20"/>
              </w:rPr>
              <w:t>nám.1</w:t>
            </w:r>
            <w:proofErr w:type="gramEnd"/>
          </w:p>
          <w:p w:rsidR="00D6136B" w:rsidRDefault="00D6136B">
            <w:pPr>
              <w:jc w:val="center"/>
              <w:rPr>
                <w:rFonts w:ascii="Arial" w:hAnsi="Arial" w:cs="Arial"/>
                <w:b/>
                <w:color w:val="0000FF"/>
                <w:spacing w:val="11"/>
                <w:w w:val="98"/>
                <w:sz w:val="28"/>
                <w:szCs w:val="28"/>
              </w:rPr>
            </w:pPr>
          </w:p>
        </w:tc>
        <w:tc>
          <w:tcPr>
            <w:tcW w:w="6520" w:type="dxa"/>
            <w:gridSpan w:val="3"/>
            <w:vMerge w:val="restart"/>
            <w:tcBorders>
              <w:top w:val="threeDEmboss" w:sz="6" w:space="0" w:color="000000"/>
              <w:left w:val="single" w:sz="12" w:space="0" w:color="000000"/>
              <w:bottom w:val="threeDEngrave" w:sz="6" w:space="0" w:color="000000"/>
              <w:right w:val="single" w:sz="12" w:space="0" w:color="000000"/>
            </w:tcBorders>
            <w:shd w:val="clear" w:color="auto" w:fill="auto"/>
            <w:tcMar>
              <w:top w:w="0" w:type="dxa"/>
              <w:left w:w="108" w:type="dxa"/>
              <w:bottom w:w="0" w:type="dxa"/>
              <w:right w:w="108" w:type="dxa"/>
            </w:tcMar>
          </w:tcPr>
          <w:p w:rsidR="00D6136B" w:rsidRDefault="00D6136B">
            <w:pPr>
              <w:rPr>
                <w:rFonts w:ascii="Arial" w:hAnsi="Arial" w:cs="Arial"/>
                <w:b/>
                <w:sz w:val="28"/>
                <w:szCs w:val="28"/>
              </w:rPr>
            </w:pPr>
          </w:p>
          <w:p w:rsidR="00D6136B" w:rsidRDefault="00A26B06">
            <w:pPr>
              <w:jc w:val="center"/>
              <w:rPr>
                <w:rFonts w:ascii="Arial" w:hAnsi="Arial" w:cs="Arial"/>
                <w:b/>
                <w:sz w:val="28"/>
                <w:szCs w:val="28"/>
              </w:rPr>
            </w:pPr>
            <w:bookmarkStart w:id="0" w:name="Rozevírací1"/>
            <w:r>
              <w:rPr>
                <w:rFonts w:ascii="Arial" w:hAnsi="Arial" w:cs="Arial"/>
                <w:b/>
                <w:sz w:val="28"/>
                <w:szCs w:val="28"/>
              </w:rPr>
              <w:t>OBECNĚ ZÁVAZNÁ VYHLÁŠKA</w:t>
            </w:r>
            <w:bookmarkEnd w:id="0"/>
          </w:p>
          <w:p w:rsidR="00D6136B" w:rsidRDefault="00D6136B">
            <w:pPr>
              <w:jc w:val="center"/>
              <w:rPr>
                <w:rFonts w:ascii="Arial" w:hAnsi="Arial" w:cs="Arial"/>
                <w:b/>
                <w:sz w:val="28"/>
                <w:szCs w:val="28"/>
              </w:rPr>
            </w:pPr>
          </w:p>
          <w:p w:rsidR="00D6136B" w:rsidRDefault="00D6136B">
            <w:pPr>
              <w:pStyle w:val="Zkladntext"/>
              <w:spacing w:after="0"/>
              <w:jc w:val="center"/>
              <w:rPr>
                <w:rFonts w:ascii="Arial" w:hAnsi="Arial" w:cs="Arial"/>
                <w:b/>
                <w:sz w:val="28"/>
                <w:szCs w:val="28"/>
              </w:rPr>
            </w:pPr>
          </w:p>
        </w:tc>
        <w:tc>
          <w:tcPr>
            <w:tcW w:w="1382" w:type="dxa"/>
            <w:tcBorders>
              <w:top w:val="threeDEmboss" w:sz="6" w:space="0" w:color="000000"/>
              <w:left w:val="single" w:sz="12" w:space="0" w:color="000000"/>
              <w:right w:val="threeDEngrave" w:sz="6" w:space="0" w:color="000000"/>
            </w:tcBorders>
            <w:shd w:val="clear" w:color="auto" w:fill="auto"/>
            <w:tcMar>
              <w:top w:w="0" w:type="dxa"/>
              <w:left w:w="108" w:type="dxa"/>
              <w:bottom w:w="0" w:type="dxa"/>
              <w:right w:w="108" w:type="dxa"/>
            </w:tcMar>
          </w:tcPr>
          <w:p w:rsidR="00D6136B" w:rsidRDefault="00D6136B">
            <w:pPr>
              <w:rPr>
                <w:rFonts w:ascii="Arial" w:hAnsi="Arial" w:cs="Arial"/>
                <w:sz w:val="20"/>
                <w:szCs w:val="20"/>
              </w:rPr>
            </w:pPr>
          </w:p>
          <w:p w:rsidR="00D6136B" w:rsidRDefault="00A26B06">
            <w:pPr>
              <w:rPr>
                <w:rFonts w:ascii="Arial" w:hAnsi="Arial" w:cs="Arial"/>
                <w:sz w:val="20"/>
                <w:szCs w:val="20"/>
              </w:rPr>
            </w:pPr>
            <w:r>
              <w:rPr>
                <w:rFonts w:ascii="Arial" w:hAnsi="Arial" w:cs="Arial"/>
                <w:sz w:val="20"/>
                <w:szCs w:val="20"/>
              </w:rPr>
              <w:t>Evidenční číslo:</w:t>
            </w:r>
          </w:p>
          <w:p w:rsidR="00D6136B" w:rsidRDefault="009C25D3">
            <w:pPr>
              <w:tabs>
                <w:tab w:val="left" w:pos="1440"/>
                <w:tab w:val="left" w:pos="5580"/>
              </w:tabs>
              <w:rPr>
                <w:rFonts w:ascii="Arial" w:hAnsi="Arial" w:cs="Arial"/>
                <w:b/>
              </w:rPr>
            </w:pPr>
            <w:r>
              <w:rPr>
                <w:rFonts w:ascii="Arial" w:hAnsi="Arial" w:cs="Arial"/>
                <w:b/>
              </w:rPr>
              <w:t>9/2023</w:t>
            </w:r>
          </w:p>
        </w:tc>
      </w:tr>
      <w:tr w:rsidR="00D6136B">
        <w:trPr>
          <w:trHeight w:val="519"/>
        </w:trPr>
        <w:tc>
          <w:tcPr>
            <w:tcW w:w="2412" w:type="dxa"/>
            <w:vMerge/>
            <w:tcBorders>
              <w:top w:val="threeDEmboss" w:sz="6" w:space="0" w:color="000000"/>
              <w:left w:val="threeDEmboss" w:sz="6" w:space="0" w:color="000000"/>
              <w:bottom w:val="threeDEngrave" w:sz="6" w:space="0" w:color="000000"/>
              <w:right w:val="single" w:sz="12" w:space="0" w:color="000000"/>
            </w:tcBorders>
            <w:shd w:val="clear" w:color="auto" w:fill="auto"/>
            <w:tcMar>
              <w:top w:w="0" w:type="dxa"/>
              <w:left w:w="108" w:type="dxa"/>
              <w:bottom w:w="0" w:type="dxa"/>
              <w:right w:w="108" w:type="dxa"/>
            </w:tcMar>
          </w:tcPr>
          <w:p w:rsidR="00D6136B" w:rsidRDefault="00D6136B">
            <w:pPr>
              <w:rPr>
                <w:rFonts w:ascii="Arial" w:hAnsi="Arial" w:cs="Arial"/>
                <w:sz w:val="20"/>
                <w:szCs w:val="20"/>
              </w:rPr>
            </w:pPr>
          </w:p>
        </w:tc>
        <w:tc>
          <w:tcPr>
            <w:tcW w:w="6520" w:type="dxa"/>
            <w:gridSpan w:val="3"/>
            <w:vMerge/>
            <w:tcBorders>
              <w:top w:val="threeDEmboss" w:sz="6" w:space="0" w:color="000000"/>
              <w:left w:val="single" w:sz="12" w:space="0" w:color="000000"/>
              <w:bottom w:val="threeDEngrave" w:sz="6" w:space="0" w:color="000000"/>
              <w:right w:val="single" w:sz="12" w:space="0" w:color="000000"/>
            </w:tcBorders>
            <w:shd w:val="clear" w:color="auto" w:fill="auto"/>
            <w:tcMar>
              <w:top w:w="0" w:type="dxa"/>
              <w:left w:w="108" w:type="dxa"/>
              <w:bottom w:w="0" w:type="dxa"/>
              <w:right w:w="108" w:type="dxa"/>
            </w:tcMar>
          </w:tcPr>
          <w:p w:rsidR="00D6136B" w:rsidRDefault="00D6136B">
            <w:pPr>
              <w:rPr>
                <w:rFonts w:ascii="Arial" w:hAnsi="Arial" w:cs="Arial"/>
                <w:sz w:val="20"/>
                <w:szCs w:val="20"/>
              </w:rPr>
            </w:pPr>
          </w:p>
        </w:tc>
        <w:tc>
          <w:tcPr>
            <w:tcW w:w="1382" w:type="dxa"/>
            <w:tcBorders>
              <w:left w:val="single" w:sz="12" w:space="0" w:color="000000"/>
              <w:bottom w:val="threeDEngrave" w:sz="6" w:space="0" w:color="000000"/>
              <w:right w:val="threeDEngrave" w:sz="6" w:space="0" w:color="000000"/>
            </w:tcBorders>
            <w:shd w:val="clear" w:color="auto" w:fill="auto"/>
            <w:tcMar>
              <w:top w:w="0" w:type="dxa"/>
              <w:left w:w="108" w:type="dxa"/>
              <w:bottom w:w="0" w:type="dxa"/>
              <w:right w:w="108" w:type="dxa"/>
            </w:tcMar>
          </w:tcPr>
          <w:p w:rsidR="00D6136B" w:rsidRDefault="00A26B06">
            <w:pPr>
              <w:rPr>
                <w:rFonts w:ascii="Arial" w:hAnsi="Arial" w:cs="Arial"/>
                <w:sz w:val="20"/>
                <w:szCs w:val="20"/>
              </w:rPr>
            </w:pPr>
            <w:r>
              <w:rPr>
                <w:rFonts w:ascii="Arial" w:hAnsi="Arial" w:cs="Arial"/>
                <w:sz w:val="20"/>
                <w:szCs w:val="20"/>
              </w:rPr>
              <w:t>Účinnost od:</w:t>
            </w:r>
          </w:p>
          <w:p w:rsidR="00D6136B" w:rsidRDefault="00D6136B">
            <w:pPr>
              <w:rPr>
                <w:rFonts w:ascii="Arial" w:hAnsi="Arial" w:cs="Arial"/>
                <w:sz w:val="10"/>
                <w:szCs w:val="10"/>
              </w:rPr>
            </w:pPr>
          </w:p>
          <w:p w:rsidR="00D6136B" w:rsidRDefault="00A26B06">
            <w:pPr>
              <w:rPr>
                <w:rFonts w:ascii="Arial" w:hAnsi="Arial" w:cs="Arial"/>
                <w:sz w:val="20"/>
                <w:szCs w:val="20"/>
              </w:rPr>
            </w:pPr>
            <w:proofErr w:type="gramStart"/>
            <w:r>
              <w:rPr>
                <w:rFonts w:ascii="Arial" w:hAnsi="Arial" w:cs="Arial"/>
                <w:sz w:val="20"/>
                <w:szCs w:val="20"/>
              </w:rPr>
              <w:t>1.1.2024</w:t>
            </w:r>
            <w:proofErr w:type="gramEnd"/>
          </w:p>
        </w:tc>
      </w:tr>
      <w:tr w:rsidR="00D6136B">
        <w:trPr>
          <w:trHeight w:val="327"/>
        </w:trPr>
        <w:tc>
          <w:tcPr>
            <w:tcW w:w="3652" w:type="dxa"/>
            <w:gridSpan w:val="2"/>
            <w:tcBorders>
              <w:top w:val="threeDEngrave" w:sz="6"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6136B" w:rsidRDefault="00A26B06">
            <w:pPr>
              <w:jc w:val="center"/>
              <w:rPr>
                <w:rFonts w:ascii="Arial" w:hAnsi="Arial" w:cs="Arial"/>
                <w:b/>
                <w:sz w:val="22"/>
                <w:szCs w:val="22"/>
              </w:rPr>
            </w:pPr>
            <w:r>
              <w:rPr>
                <w:rFonts w:ascii="Arial" w:hAnsi="Arial" w:cs="Arial"/>
                <w:b/>
                <w:sz w:val="22"/>
                <w:szCs w:val="22"/>
              </w:rPr>
              <w:t>Vypracoval:</w:t>
            </w:r>
          </w:p>
        </w:tc>
        <w:tc>
          <w:tcPr>
            <w:tcW w:w="3901" w:type="dxa"/>
            <w:tcBorders>
              <w:top w:val="threeDEngrave" w:sz="6"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6136B" w:rsidRDefault="00A26B06">
            <w:pPr>
              <w:jc w:val="center"/>
              <w:rPr>
                <w:rFonts w:ascii="Arial" w:hAnsi="Arial" w:cs="Arial"/>
                <w:b/>
                <w:sz w:val="22"/>
                <w:szCs w:val="22"/>
              </w:rPr>
            </w:pPr>
            <w:r>
              <w:rPr>
                <w:rFonts w:ascii="Arial" w:hAnsi="Arial" w:cs="Arial"/>
                <w:b/>
                <w:sz w:val="22"/>
                <w:szCs w:val="22"/>
              </w:rPr>
              <w:t>Zkontroloval:</w:t>
            </w:r>
          </w:p>
        </w:tc>
        <w:tc>
          <w:tcPr>
            <w:tcW w:w="2761" w:type="dxa"/>
            <w:gridSpan w:val="2"/>
            <w:tcBorders>
              <w:top w:val="threeDEngrave" w:sz="6"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D6136B" w:rsidRDefault="00A26B06">
            <w:pPr>
              <w:jc w:val="center"/>
              <w:rPr>
                <w:rFonts w:ascii="Arial" w:hAnsi="Arial" w:cs="Arial"/>
                <w:b/>
                <w:sz w:val="22"/>
                <w:szCs w:val="22"/>
              </w:rPr>
            </w:pPr>
            <w:r>
              <w:rPr>
                <w:rFonts w:ascii="Arial" w:hAnsi="Arial" w:cs="Arial"/>
                <w:b/>
                <w:sz w:val="22"/>
                <w:szCs w:val="22"/>
              </w:rPr>
              <w:t>Schválil:</w:t>
            </w:r>
          </w:p>
        </w:tc>
      </w:tr>
      <w:tr w:rsidR="00D6136B">
        <w:trPr>
          <w:trHeight w:val="1080"/>
        </w:trPr>
        <w:tc>
          <w:tcPr>
            <w:tcW w:w="3652"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6136B" w:rsidRDefault="00A26B06">
            <w:pPr>
              <w:tabs>
                <w:tab w:val="left" w:pos="1440"/>
                <w:tab w:val="left" w:pos="5580"/>
              </w:tabs>
              <w:spacing w:line="360" w:lineRule="auto"/>
              <w:jc w:val="center"/>
              <w:rPr>
                <w:rFonts w:ascii="Arial" w:hAnsi="Arial" w:cs="Arial"/>
                <w:b/>
                <w:sz w:val="22"/>
                <w:szCs w:val="22"/>
              </w:rPr>
            </w:pPr>
            <w:r>
              <w:rPr>
                <w:rFonts w:ascii="Arial" w:hAnsi="Arial" w:cs="Arial"/>
                <w:b/>
                <w:sz w:val="22"/>
                <w:szCs w:val="22"/>
              </w:rPr>
              <w:t>Ing. Marián Maňák</w:t>
            </w:r>
          </w:p>
          <w:p w:rsidR="00D6136B" w:rsidRDefault="00A26B06">
            <w:pPr>
              <w:tabs>
                <w:tab w:val="left" w:pos="1440"/>
                <w:tab w:val="left" w:pos="5580"/>
              </w:tabs>
              <w:spacing w:line="360" w:lineRule="auto"/>
              <w:jc w:val="center"/>
              <w:rPr>
                <w:rFonts w:ascii="Arial" w:hAnsi="Arial" w:cs="Arial"/>
                <w:b/>
                <w:sz w:val="22"/>
                <w:szCs w:val="22"/>
              </w:rPr>
            </w:pPr>
            <w:r>
              <w:rPr>
                <w:rFonts w:ascii="Arial" w:hAnsi="Arial" w:cs="Arial"/>
                <w:b/>
                <w:sz w:val="22"/>
                <w:szCs w:val="22"/>
              </w:rPr>
              <w:t>Odbor ekonomiky a financí</w:t>
            </w:r>
          </w:p>
        </w:tc>
        <w:tc>
          <w:tcPr>
            <w:tcW w:w="39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6136B" w:rsidRDefault="00A26B06">
            <w:pPr>
              <w:tabs>
                <w:tab w:val="left" w:pos="1440"/>
                <w:tab w:val="left" w:pos="5580"/>
              </w:tabs>
              <w:spacing w:line="360" w:lineRule="auto"/>
              <w:jc w:val="center"/>
              <w:rPr>
                <w:rFonts w:ascii="Arial" w:hAnsi="Arial" w:cs="Arial"/>
                <w:b/>
                <w:sz w:val="22"/>
                <w:szCs w:val="22"/>
              </w:rPr>
            </w:pPr>
            <w:r>
              <w:rPr>
                <w:rFonts w:ascii="Arial" w:hAnsi="Arial" w:cs="Arial"/>
                <w:b/>
                <w:sz w:val="22"/>
                <w:szCs w:val="22"/>
              </w:rPr>
              <w:t>Mgr. Petr Spazier</w:t>
            </w:r>
          </w:p>
          <w:p w:rsidR="00D6136B" w:rsidRDefault="00A26B06">
            <w:pPr>
              <w:tabs>
                <w:tab w:val="left" w:pos="1440"/>
                <w:tab w:val="left" w:pos="5580"/>
              </w:tabs>
              <w:spacing w:line="360" w:lineRule="auto"/>
              <w:jc w:val="center"/>
              <w:rPr>
                <w:rFonts w:ascii="Arial" w:hAnsi="Arial" w:cs="Arial"/>
                <w:b/>
                <w:sz w:val="22"/>
                <w:szCs w:val="22"/>
              </w:rPr>
            </w:pPr>
            <w:r>
              <w:rPr>
                <w:rFonts w:ascii="Arial" w:hAnsi="Arial" w:cs="Arial"/>
                <w:b/>
                <w:sz w:val="22"/>
                <w:szCs w:val="22"/>
              </w:rPr>
              <w:t>Právník</w:t>
            </w:r>
          </w:p>
        </w:tc>
        <w:tc>
          <w:tcPr>
            <w:tcW w:w="2761" w:type="dxa"/>
            <w:gridSpan w:val="2"/>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D6136B" w:rsidRDefault="00A26B06">
            <w:pPr>
              <w:tabs>
                <w:tab w:val="left" w:pos="1440"/>
                <w:tab w:val="left" w:pos="5580"/>
              </w:tabs>
              <w:spacing w:line="360" w:lineRule="auto"/>
              <w:jc w:val="center"/>
              <w:rPr>
                <w:rFonts w:ascii="Arial" w:hAnsi="Arial" w:cs="Arial"/>
                <w:b/>
                <w:sz w:val="22"/>
                <w:szCs w:val="22"/>
              </w:rPr>
            </w:pPr>
            <w:r>
              <w:rPr>
                <w:rFonts w:ascii="Arial" w:hAnsi="Arial" w:cs="Arial"/>
                <w:b/>
                <w:sz w:val="22"/>
                <w:szCs w:val="22"/>
              </w:rPr>
              <w:t>Zastupitelstvo města</w:t>
            </w:r>
          </w:p>
          <w:p w:rsidR="00D6136B" w:rsidRDefault="00D6136B">
            <w:pPr>
              <w:tabs>
                <w:tab w:val="left" w:pos="1440"/>
                <w:tab w:val="left" w:pos="5580"/>
              </w:tabs>
              <w:spacing w:line="360" w:lineRule="auto"/>
              <w:jc w:val="center"/>
            </w:pPr>
            <w:bookmarkStart w:id="1" w:name="_GoBack"/>
            <w:bookmarkEnd w:id="1"/>
          </w:p>
        </w:tc>
      </w:tr>
      <w:tr w:rsidR="00D6136B">
        <w:trPr>
          <w:trHeight w:val="888"/>
        </w:trPr>
        <w:tc>
          <w:tcPr>
            <w:tcW w:w="3652" w:type="dxa"/>
            <w:gridSpan w:val="2"/>
            <w:tcBorders>
              <w:top w:val="single" w:sz="2" w:space="0" w:color="000000"/>
              <w:left w:val="single" w:sz="12" w:space="0" w:color="000000"/>
              <w:bottom w:val="single" w:sz="12" w:space="0" w:color="000000"/>
              <w:right w:val="single" w:sz="2" w:space="0" w:color="000000"/>
            </w:tcBorders>
            <w:shd w:val="clear" w:color="auto" w:fill="auto"/>
            <w:tcMar>
              <w:top w:w="57" w:type="dxa"/>
              <w:left w:w="108" w:type="dxa"/>
              <w:bottom w:w="0" w:type="dxa"/>
              <w:right w:w="108" w:type="dxa"/>
            </w:tcMar>
          </w:tcPr>
          <w:p w:rsidR="00D6136B" w:rsidRDefault="00A26B06">
            <w:pPr>
              <w:jc w:val="center"/>
              <w:rPr>
                <w:rFonts w:ascii="Arial" w:hAnsi="Arial" w:cs="Arial"/>
                <w:sz w:val="20"/>
                <w:szCs w:val="20"/>
              </w:rPr>
            </w:pPr>
            <w:r>
              <w:rPr>
                <w:rFonts w:ascii="Arial" w:hAnsi="Arial" w:cs="Arial"/>
                <w:sz w:val="20"/>
                <w:szCs w:val="20"/>
              </w:rPr>
              <w:t xml:space="preserve">Datum a podpis:  </w:t>
            </w:r>
          </w:p>
          <w:p w:rsidR="00D6136B" w:rsidRDefault="00A26B06">
            <w:pPr>
              <w:rPr>
                <w:rFonts w:ascii="Arial" w:hAnsi="Arial" w:cs="Arial"/>
                <w:sz w:val="20"/>
                <w:szCs w:val="20"/>
              </w:rPr>
            </w:pPr>
            <w:r>
              <w:rPr>
                <w:rFonts w:ascii="Arial" w:hAnsi="Arial" w:cs="Arial"/>
                <w:sz w:val="20"/>
                <w:szCs w:val="20"/>
              </w:rPr>
              <w:t xml:space="preserve">             </w:t>
            </w:r>
          </w:p>
          <w:p w:rsidR="00D6136B" w:rsidRDefault="00A26B06">
            <w:pPr>
              <w:rPr>
                <w:rFonts w:ascii="Arial" w:hAnsi="Arial" w:cs="Arial"/>
                <w:sz w:val="20"/>
                <w:szCs w:val="20"/>
              </w:rPr>
            </w:pPr>
            <w:r>
              <w:rPr>
                <w:rFonts w:ascii="Arial" w:hAnsi="Arial" w:cs="Arial"/>
                <w:sz w:val="20"/>
                <w:szCs w:val="20"/>
              </w:rPr>
              <w:t xml:space="preserve">           Ing. Marián Maňák v. r.</w:t>
            </w:r>
          </w:p>
        </w:tc>
        <w:tc>
          <w:tcPr>
            <w:tcW w:w="3901" w:type="dxa"/>
            <w:tcBorders>
              <w:top w:val="single" w:sz="2" w:space="0" w:color="000000"/>
              <w:left w:val="single" w:sz="2" w:space="0" w:color="000000"/>
              <w:bottom w:val="single" w:sz="12" w:space="0" w:color="000000"/>
              <w:right w:val="single" w:sz="2" w:space="0" w:color="000000"/>
            </w:tcBorders>
            <w:shd w:val="clear" w:color="auto" w:fill="auto"/>
            <w:tcMar>
              <w:top w:w="57" w:type="dxa"/>
              <w:left w:w="108" w:type="dxa"/>
              <w:bottom w:w="0" w:type="dxa"/>
              <w:right w:w="108" w:type="dxa"/>
            </w:tcMar>
          </w:tcPr>
          <w:p w:rsidR="00D6136B" w:rsidRDefault="00A26B06">
            <w:pPr>
              <w:jc w:val="center"/>
              <w:rPr>
                <w:rFonts w:ascii="Arial" w:hAnsi="Arial" w:cs="Arial"/>
                <w:sz w:val="20"/>
                <w:szCs w:val="20"/>
              </w:rPr>
            </w:pPr>
            <w:r>
              <w:rPr>
                <w:rFonts w:ascii="Arial" w:hAnsi="Arial" w:cs="Arial"/>
                <w:sz w:val="20"/>
                <w:szCs w:val="20"/>
              </w:rPr>
              <w:t>Datum a podpis</w:t>
            </w:r>
          </w:p>
          <w:p w:rsidR="00D6136B" w:rsidRDefault="00D6136B">
            <w:pPr>
              <w:jc w:val="center"/>
              <w:rPr>
                <w:rFonts w:ascii="Arial" w:hAnsi="Arial" w:cs="Arial"/>
                <w:sz w:val="20"/>
                <w:szCs w:val="20"/>
              </w:rPr>
            </w:pPr>
          </w:p>
          <w:p w:rsidR="00D6136B" w:rsidRDefault="00A26B06">
            <w:pPr>
              <w:jc w:val="center"/>
              <w:rPr>
                <w:rFonts w:ascii="Arial" w:hAnsi="Arial" w:cs="Arial"/>
                <w:sz w:val="20"/>
                <w:szCs w:val="20"/>
              </w:rPr>
            </w:pPr>
            <w:r>
              <w:rPr>
                <w:rFonts w:ascii="Arial" w:hAnsi="Arial" w:cs="Arial"/>
                <w:sz w:val="20"/>
                <w:szCs w:val="20"/>
              </w:rPr>
              <w:t>Mgr. Petr Spazier v. r.</w:t>
            </w:r>
          </w:p>
        </w:tc>
        <w:tc>
          <w:tcPr>
            <w:tcW w:w="2761" w:type="dxa"/>
            <w:gridSpan w:val="2"/>
            <w:tcBorders>
              <w:top w:val="single" w:sz="2" w:space="0" w:color="000000"/>
              <w:left w:val="single" w:sz="2" w:space="0" w:color="000000"/>
              <w:bottom w:val="single" w:sz="12" w:space="0" w:color="000000"/>
              <w:right w:val="single" w:sz="12" w:space="0" w:color="000000"/>
            </w:tcBorders>
            <w:shd w:val="clear" w:color="auto" w:fill="auto"/>
            <w:tcMar>
              <w:top w:w="57" w:type="dxa"/>
              <w:left w:w="108" w:type="dxa"/>
              <w:bottom w:w="0" w:type="dxa"/>
              <w:right w:w="108" w:type="dxa"/>
            </w:tcMar>
          </w:tcPr>
          <w:p w:rsidR="00D6136B" w:rsidRDefault="00A26B06">
            <w:pPr>
              <w:jc w:val="center"/>
              <w:rPr>
                <w:rFonts w:ascii="Arial" w:hAnsi="Arial" w:cs="Arial"/>
                <w:sz w:val="20"/>
                <w:szCs w:val="20"/>
              </w:rPr>
            </w:pPr>
            <w:r>
              <w:rPr>
                <w:rFonts w:ascii="Arial" w:hAnsi="Arial" w:cs="Arial"/>
                <w:sz w:val="20"/>
                <w:szCs w:val="20"/>
              </w:rPr>
              <w:t xml:space="preserve">Datum a podpis:  </w:t>
            </w:r>
          </w:p>
          <w:p w:rsidR="00D6136B" w:rsidRDefault="00D6136B">
            <w:pPr>
              <w:jc w:val="center"/>
              <w:rPr>
                <w:rFonts w:ascii="Arial" w:hAnsi="Arial" w:cs="Arial"/>
                <w:sz w:val="20"/>
                <w:szCs w:val="20"/>
              </w:rPr>
            </w:pPr>
          </w:p>
          <w:p w:rsidR="00D6136B" w:rsidRDefault="00A26B06">
            <w:pPr>
              <w:jc w:val="center"/>
              <w:rPr>
                <w:rFonts w:ascii="Arial" w:hAnsi="Arial" w:cs="Arial"/>
                <w:sz w:val="20"/>
                <w:szCs w:val="20"/>
              </w:rPr>
            </w:pPr>
            <w:r>
              <w:rPr>
                <w:rFonts w:ascii="Arial" w:hAnsi="Arial" w:cs="Arial"/>
                <w:sz w:val="20"/>
                <w:szCs w:val="20"/>
              </w:rPr>
              <w:t>Libor Střecha v. r.</w:t>
            </w:r>
          </w:p>
        </w:tc>
      </w:tr>
    </w:tbl>
    <w:p w:rsidR="00D6136B" w:rsidRDefault="00A26B06">
      <w:pPr>
        <w:pStyle w:val="Nzev"/>
      </w:pPr>
      <w:r>
        <w:br/>
      </w:r>
    </w:p>
    <w:p w:rsidR="00D6136B" w:rsidRDefault="00D6136B">
      <w:pPr>
        <w:pStyle w:val="Nzev"/>
        <w:spacing w:before="0" w:after="0"/>
      </w:pPr>
    </w:p>
    <w:p w:rsidR="00D6136B" w:rsidRDefault="00D6136B">
      <w:pPr>
        <w:pStyle w:val="Nzev"/>
        <w:spacing w:before="0" w:after="0"/>
      </w:pPr>
    </w:p>
    <w:p w:rsidR="00D6136B" w:rsidRDefault="00D6136B">
      <w:pPr>
        <w:pStyle w:val="Nzev"/>
        <w:spacing w:before="0" w:after="0"/>
      </w:pPr>
    </w:p>
    <w:p w:rsidR="00D6136B" w:rsidRDefault="00A26B06">
      <w:pPr>
        <w:shd w:val="clear" w:color="auto" w:fill="FFFFFF"/>
        <w:spacing w:before="120"/>
        <w:jc w:val="center"/>
      </w:pPr>
      <w:r>
        <w:rPr>
          <w:rFonts w:ascii="Arial" w:hAnsi="Arial" w:cs="Arial"/>
          <w:b/>
          <w:sz w:val="28"/>
          <w:szCs w:val="28"/>
        </w:rPr>
        <w:t>o místním poplatku ze psů</w:t>
      </w:r>
    </w:p>
    <w:p w:rsidR="00D6136B" w:rsidRDefault="00D6136B">
      <w:pPr>
        <w:jc w:val="center"/>
        <w:rPr>
          <w:rFonts w:ascii="Arial" w:hAnsi="Arial" w:cs="Arial"/>
          <w:b/>
          <w:sz w:val="28"/>
          <w:szCs w:val="28"/>
        </w:rPr>
      </w:pPr>
    </w:p>
    <w:p w:rsidR="00D6136B" w:rsidRDefault="00D6136B">
      <w:pPr>
        <w:pStyle w:val="Default"/>
      </w:pPr>
    </w:p>
    <w:p w:rsidR="00D6136B" w:rsidRDefault="00A26B06">
      <w:pPr>
        <w:pStyle w:val="Default"/>
        <w:rPr>
          <w:rFonts w:ascii="Arial" w:hAnsi="Arial" w:cs="Arial"/>
          <w:b/>
          <w:bCs/>
          <w:sz w:val="22"/>
          <w:szCs w:val="22"/>
        </w:rPr>
      </w:pPr>
      <w:r>
        <w:rPr>
          <w:rFonts w:ascii="Arial" w:hAnsi="Arial" w:cs="Arial"/>
          <w:b/>
          <w:bCs/>
          <w:sz w:val="22"/>
          <w:szCs w:val="22"/>
        </w:rPr>
        <w:t xml:space="preserve">Obsah: </w:t>
      </w:r>
    </w:p>
    <w:p w:rsidR="00D6136B" w:rsidRDefault="00D6136B">
      <w:pPr>
        <w:pStyle w:val="Default"/>
        <w:rPr>
          <w:rFonts w:ascii="Arial" w:hAnsi="Arial" w:cs="Arial"/>
          <w:sz w:val="22"/>
          <w:szCs w:val="22"/>
        </w:rPr>
      </w:pPr>
    </w:p>
    <w:p w:rsidR="00D6136B" w:rsidRDefault="00A26B06">
      <w:pPr>
        <w:pStyle w:val="Obsah1"/>
        <w:tabs>
          <w:tab w:val="right" w:leader="dot" w:pos="9631"/>
        </w:tabs>
      </w:pPr>
      <w:r>
        <w:rPr>
          <w:color w:val="000000"/>
        </w:rPr>
        <w:fldChar w:fldCharType="begin"/>
      </w:r>
      <w:r>
        <w:instrText xml:space="preserve"> TOC \o "1-3" \h </w:instrText>
      </w:r>
      <w:r>
        <w:rPr>
          <w:color w:val="000000"/>
        </w:rPr>
        <w:fldChar w:fldCharType="separate"/>
      </w:r>
    </w:p>
    <w:p w:rsidR="00D6136B" w:rsidRDefault="00FD4D2D">
      <w:pPr>
        <w:pStyle w:val="Obsah2"/>
        <w:tabs>
          <w:tab w:val="right" w:leader="dot" w:pos="9631"/>
        </w:tabs>
      </w:pPr>
      <w:hyperlink w:anchor="_Toc153345353" w:history="1">
        <w:r w:rsidR="00A26B06">
          <w:rPr>
            <w:rStyle w:val="Hypertextovodkaz"/>
          </w:rPr>
          <w:t>Čl. 1 Úvodní ustanovení</w:t>
        </w:r>
        <w:r w:rsidR="00A26B06">
          <w:tab/>
          <w:t>2</w:t>
        </w:r>
      </w:hyperlink>
    </w:p>
    <w:p w:rsidR="00D6136B" w:rsidRDefault="00FD4D2D">
      <w:pPr>
        <w:pStyle w:val="Obsah2"/>
        <w:tabs>
          <w:tab w:val="right" w:leader="dot" w:pos="9631"/>
        </w:tabs>
      </w:pPr>
      <w:hyperlink w:anchor="_Toc153345354" w:history="1">
        <w:r w:rsidR="00A26B06">
          <w:rPr>
            <w:rStyle w:val="Hypertextovodkaz"/>
          </w:rPr>
          <w:t>Čl. 2 Předmět poplatku a poplatník</w:t>
        </w:r>
        <w:r w:rsidR="00A26B06">
          <w:tab/>
          <w:t>2</w:t>
        </w:r>
      </w:hyperlink>
    </w:p>
    <w:p w:rsidR="00D6136B" w:rsidRDefault="00FD4D2D">
      <w:pPr>
        <w:pStyle w:val="Obsah2"/>
        <w:tabs>
          <w:tab w:val="right" w:leader="dot" w:pos="9631"/>
        </w:tabs>
      </w:pPr>
      <w:hyperlink w:anchor="_Toc153345355" w:history="1">
        <w:r w:rsidR="00A26B06">
          <w:rPr>
            <w:rStyle w:val="Hypertextovodkaz"/>
          </w:rPr>
          <w:t>Čl. 3 Ohlašovací povinnost</w:t>
        </w:r>
        <w:r w:rsidR="00A26B06">
          <w:tab/>
          <w:t>2</w:t>
        </w:r>
      </w:hyperlink>
    </w:p>
    <w:p w:rsidR="00D6136B" w:rsidRDefault="00FD4D2D">
      <w:pPr>
        <w:pStyle w:val="Obsah2"/>
        <w:tabs>
          <w:tab w:val="right" w:leader="dot" w:pos="9631"/>
        </w:tabs>
      </w:pPr>
      <w:hyperlink w:anchor="_Toc153345356" w:history="1">
        <w:r w:rsidR="00A26B06">
          <w:rPr>
            <w:rStyle w:val="Hypertextovodkaz"/>
          </w:rPr>
          <w:t>Čl. 4 Sazba poplatku</w:t>
        </w:r>
        <w:r w:rsidR="00A26B06">
          <w:tab/>
          <w:t>2</w:t>
        </w:r>
      </w:hyperlink>
    </w:p>
    <w:p w:rsidR="00D6136B" w:rsidRDefault="00FD4D2D">
      <w:pPr>
        <w:pStyle w:val="Obsah2"/>
        <w:tabs>
          <w:tab w:val="right" w:leader="dot" w:pos="9631"/>
        </w:tabs>
      </w:pPr>
      <w:hyperlink w:anchor="_Toc153345357" w:history="1">
        <w:r w:rsidR="00A26B06">
          <w:rPr>
            <w:rStyle w:val="Hypertextovodkaz"/>
          </w:rPr>
          <w:t>Čl. 5 Splatnost poplatku</w:t>
        </w:r>
        <w:r w:rsidR="00A26B06">
          <w:tab/>
          <w:t>3</w:t>
        </w:r>
      </w:hyperlink>
    </w:p>
    <w:p w:rsidR="00D6136B" w:rsidRDefault="00FD4D2D">
      <w:pPr>
        <w:pStyle w:val="Obsah2"/>
        <w:tabs>
          <w:tab w:val="right" w:leader="dot" w:pos="9631"/>
        </w:tabs>
      </w:pPr>
      <w:hyperlink w:anchor="_Toc153345358" w:history="1">
        <w:r w:rsidR="00A26B06">
          <w:rPr>
            <w:rStyle w:val="Hypertextovodkaz"/>
          </w:rPr>
          <w:t>Čl. 6  Osvobození a úlevy</w:t>
        </w:r>
        <w:r w:rsidR="00A26B06">
          <w:tab/>
          <w:t>3</w:t>
        </w:r>
      </w:hyperlink>
    </w:p>
    <w:p w:rsidR="00D6136B" w:rsidRDefault="00FD4D2D">
      <w:pPr>
        <w:pStyle w:val="Obsah2"/>
        <w:tabs>
          <w:tab w:val="right" w:leader="dot" w:pos="9631"/>
        </w:tabs>
      </w:pPr>
      <w:hyperlink w:anchor="_Toc153345359" w:history="1">
        <w:r w:rsidR="00A26B06">
          <w:rPr>
            <w:rStyle w:val="Hypertextovodkaz"/>
          </w:rPr>
          <w:t>Čl. 7  Přechodné a zrušovací ustanovení</w:t>
        </w:r>
        <w:r w:rsidR="00A26B06">
          <w:tab/>
          <w:t>4</w:t>
        </w:r>
      </w:hyperlink>
    </w:p>
    <w:p w:rsidR="00D6136B" w:rsidRDefault="00FD4D2D">
      <w:pPr>
        <w:pStyle w:val="Obsah2"/>
        <w:tabs>
          <w:tab w:val="right" w:leader="dot" w:pos="9631"/>
        </w:tabs>
      </w:pPr>
      <w:hyperlink w:anchor="_Toc153345360" w:history="1">
        <w:r w:rsidR="00A26B06">
          <w:rPr>
            <w:rStyle w:val="Hypertextovodkaz"/>
          </w:rPr>
          <w:t>Čl. 8 Účinnost</w:t>
        </w:r>
        <w:r w:rsidR="00A26B06">
          <w:tab/>
          <w:t>4</w:t>
        </w:r>
      </w:hyperlink>
    </w:p>
    <w:p w:rsidR="00D6136B" w:rsidRDefault="00A26B06">
      <w:r>
        <w:rPr>
          <w:rFonts w:cs="Mangal"/>
          <w:szCs w:val="21"/>
        </w:rPr>
        <w:fldChar w:fldCharType="end"/>
      </w:r>
    </w:p>
    <w:p w:rsidR="00D6136B" w:rsidRDefault="00D6136B">
      <w:pPr>
        <w:pStyle w:val="Default"/>
        <w:rPr>
          <w:rFonts w:ascii="Arial" w:hAnsi="Arial" w:cs="Arial"/>
          <w:sz w:val="22"/>
          <w:szCs w:val="22"/>
        </w:rPr>
      </w:pPr>
    </w:p>
    <w:p w:rsidR="00D6136B" w:rsidRDefault="00D6136B">
      <w:pPr>
        <w:pStyle w:val="Default"/>
        <w:rPr>
          <w:rFonts w:ascii="Arial" w:hAnsi="Arial" w:cs="Arial"/>
          <w:b/>
          <w:bCs/>
          <w:sz w:val="22"/>
          <w:szCs w:val="22"/>
        </w:rPr>
      </w:pPr>
    </w:p>
    <w:p w:rsidR="00D6136B" w:rsidRDefault="00D6136B">
      <w:pPr>
        <w:pStyle w:val="Nzev"/>
        <w:spacing w:before="0" w:after="0"/>
      </w:pPr>
    </w:p>
    <w:p w:rsidR="00D6136B" w:rsidRDefault="00D6136B">
      <w:pPr>
        <w:pStyle w:val="Textbody"/>
      </w:pPr>
    </w:p>
    <w:p w:rsidR="00D6136B" w:rsidRDefault="00D6136B">
      <w:pPr>
        <w:pStyle w:val="Nzev"/>
        <w:spacing w:before="0" w:after="0"/>
      </w:pPr>
    </w:p>
    <w:p w:rsidR="00D6136B" w:rsidRDefault="00A26B06">
      <w:pPr>
        <w:pStyle w:val="Nzev"/>
        <w:spacing w:before="0" w:after="0"/>
      </w:pPr>
      <w:r>
        <w:t>Město Hodonín</w:t>
      </w:r>
    </w:p>
    <w:p w:rsidR="00D6136B" w:rsidRDefault="00A26B06">
      <w:pPr>
        <w:pStyle w:val="Nzev"/>
        <w:spacing w:before="0" w:after="0"/>
      </w:pPr>
      <w:r>
        <w:t>Zastupitelstvo města Hodonín</w:t>
      </w:r>
    </w:p>
    <w:p w:rsidR="00D6136B" w:rsidRDefault="00A26B06">
      <w:pPr>
        <w:pStyle w:val="Nadpis1"/>
      </w:pPr>
      <w:bookmarkStart w:id="2" w:name="_Toc153345352"/>
      <w:r>
        <w:t>Obecně závazná vyhláška města Hodonín</w:t>
      </w:r>
      <w:r>
        <w:br/>
        <w:t>o místním poplatku ze psů</w:t>
      </w:r>
      <w:bookmarkEnd w:id="2"/>
    </w:p>
    <w:p w:rsidR="00D6136B" w:rsidRDefault="00A26B06">
      <w:pPr>
        <w:pStyle w:val="UvodniVeta"/>
      </w:pPr>
      <w:r>
        <w:t>Zastupitelstvo města Hodonín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D6136B" w:rsidRDefault="00A26B06">
      <w:pPr>
        <w:pStyle w:val="Nadpis2"/>
      </w:pPr>
      <w:bookmarkStart w:id="3" w:name="_Toc153345353"/>
      <w:r>
        <w:t>Čl. 1</w:t>
      </w:r>
      <w:r>
        <w:br/>
        <w:t>Úvodní ustanovení</w:t>
      </w:r>
      <w:bookmarkEnd w:id="3"/>
    </w:p>
    <w:p w:rsidR="00D6136B" w:rsidRDefault="00A26B06">
      <w:pPr>
        <w:pStyle w:val="Odstavec"/>
        <w:numPr>
          <w:ilvl w:val="0"/>
          <w:numId w:val="1"/>
        </w:numPr>
      </w:pPr>
      <w:r>
        <w:t>Město Hodonín touto vyhláškou zavádí místní poplatek ze psů (dále jen „poplatek“).</w:t>
      </w:r>
    </w:p>
    <w:p w:rsidR="00D6136B" w:rsidRDefault="00A26B06">
      <w:pPr>
        <w:pStyle w:val="Odstavec"/>
        <w:numPr>
          <w:ilvl w:val="0"/>
          <w:numId w:val="1"/>
        </w:numPr>
      </w:pPr>
      <w:r>
        <w:t>Poplatkovým obdobím poplatku je kalendářní rok</w:t>
      </w:r>
      <w:r>
        <w:rPr>
          <w:rStyle w:val="Znakapoznpodarou"/>
        </w:rPr>
        <w:footnoteReference w:id="1"/>
      </w:r>
      <w:r>
        <w:t>.</w:t>
      </w:r>
    </w:p>
    <w:p w:rsidR="00D6136B" w:rsidRDefault="00A26B06">
      <w:pPr>
        <w:pStyle w:val="Odstavec"/>
        <w:numPr>
          <w:ilvl w:val="0"/>
          <w:numId w:val="1"/>
        </w:numPr>
      </w:pPr>
      <w:r>
        <w:t>Správcem poplatku je městský úřad</w:t>
      </w:r>
      <w:r>
        <w:rPr>
          <w:rStyle w:val="Znakapoznpodarou"/>
        </w:rPr>
        <w:footnoteReference w:id="2"/>
      </w:r>
      <w:r>
        <w:t>.</w:t>
      </w:r>
    </w:p>
    <w:p w:rsidR="00D6136B" w:rsidRDefault="00A26B06">
      <w:pPr>
        <w:pStyle w:val="Nadpis2"/>
      </w:pPr>
      <w:bookmarkStart w:id="4" w:name="_Toc153345354"/>
      <w:r>
        <w:t>Čl. 2</w:t>
      </w:r>
      <w:r>
        <w:br/>
        <w:t>Předmět poplatku a poplatník</w:t>
      </w:r>
      <w:bookmarkEnd w:id="4"/>
    </w:p>
    <w:p w:rsidR="00D6136B" w:rsidRDefault="00A26B0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D6136B" w:rsidRDefault="00A26B06">
      <w:pPr>
        <w:pStyle w:val="Odstavec"/>
        <w:numPr>
          <w:ilvl w:val="0"/>
          <w:numId w:val="1"/>
        </w:numPr>
      </w:pPr>
      <w:r>
        <w:t>Poplatek ze psů se platí ze psů starších 3 měsíců</w:t>
      </w:r>
      <w:r>
        <w:rPr>
          <w:rStyle w:val="Znakapoznpodarou"/>
        </w:rPr>
        <w:footnoteReference w:id="4"/>
      </w:r>
      <w:r>
        <w:t>.</w:t>
      </w:r>
    </w:p>
    <w:p w:rsidR="00D6136B" w:rsidRDefault="00A26B06">
      <w:pPr>
        <w:pStyle w:val="Nadpis2"/>
      </w:pPr>
      <w:bookmarkStart w:id="5" w:name="_Toc153345355"/>
      <w:r>
        <w:t>Čl. 3</w:t>
      </w:r>
      <w:r>
        <w:br/>
        <w:t>Ohlašovací povinnost</w:t>
      </w:r>
      <w:bookmarkEnd w:id="5"/>
    </w:p>
    <w:p w:rsidR="00D6136B" w:rsidRDefault="00A26B0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D6136B" w:rsidRDefault="00A26B0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D6136B" w:rsidRDefault="00A26B06">
      <w:pPr>
        <w:pStyle w:val="Nadpis2"/>
      </w:pPr>
      <w:bookmarkStart w:id="6" w:name="_Toc153345356"/>
      <w:r>
        <w:t>Čl. 4</w:t>
      </w:r>
      <w:r>
        <w:br/>
        <w:t>Sazba poplatku</w:t>
      </w:r>
      <w:bookmarkEnd w:id="6"/>
    </w:p>
    <w:p w:rsidR="00D6136B" w:rsidRDefault="00A26B06">
      <w:pPr>
        <w:pStyle w:val="Odstavec"/>
        <w:numPr>
          <w:ilvl w:val="0"/>
          <w:numId w:val="4"/>
        </w:numPr>
      </w:pPr>
      <w:r>
        <w:t>Sazba poplatku za kalendářní rok činí:</w:t>
      </w:r>
    </w:p>
    <w:p w:rsidR="00D6136B" w:rsidRDefault="00A26B06">
      <w:pPr>
        <w:pStyle w:val="Odstavec"/>
        <w:numPr>
          <w:ilvl w:val="1"/>
          <w:numId w:val="1"/>
        </w:numPr>
      </w:pPr>
      <w:r>
        <w:t xml:space="preserve">za jednoho </w:t>
      </w:r>
      <w:proofErr w:type="gramStart"/>
      <w:r>
        <w:t>psa                                                                                                          780</w:t>
      </w:r>
      <w:proofErr w:type="gramEnd"/>
      <w:r>
        <w:t> Kč,</w:t>
      </w:r>
    </w:p>
    <w:p w:rsidR="00D6136B" w:rsidRDefault="00A26B06">
      <w:pPr>
        <w:pStyle w:val="Odstavec"/>
        <w:numPr>
          <w:ilvl w:val="1"/>
          <w:numId w:val="1"/>
        </w:numPr>
      </w:pPr>
      <w:r>
        <w:lastRenderedPageBreak/>
        <w:t xml:space="preserve">za druhého a každého dalšího psa téhož </w:t>
      </w:r>
      <w:proofErr w:type="gramStart"/>
      <w:r>
        <w:t>držitele                                                   1200</w:t>
      </w:r>
      <w:proofErr w:type="gramEnd"/>
      <w:r>
        <w:t> Kč,</w:t>
      </w:r>
    </w:p>
    <w:p w:rsidR="00D6136B" w:rsidRDefault="00A26B06">
      <w:pPr>
        <w:pStyle w:val="Odstavec"/>
        <w:numPr>
          <w:ilvl w:val="1"/>
          <w:numId w:val="1"/>
        </w:numPr>
      </w:pPr>
      <w:r>
        <w:t>za psa, jehož držitelem je osoba starší 65 </w:t>
      </w:r>
      <w:proofErr w:type="gramStart"/>
      <w:r>
        <w:t>let,                                                            200</w:t>
      </w:r>
      <w:proofErr w:type="gramEnd"/>
      <w:r>
        <w:t> Kč,</w:t>
      </w:r>
    </w:p>
    <w:p w:rsidR="00D6136B" w:rsidRDefault="00A26B06">
      <w:pPr>
        <w:pStyle w:val="Odstavec"/>
        <w:numPr>
          <w:ilvl w:val="1"/>
          <w:numId w:val="1"/>
        </w:numPr>
      </w:pPr>
      <w:r>
        <w:t xml:space="preserve">za druhého a každého dalšího psa téhož držitele, kterým je osoba starší 65 </w:t>
      </w:r>
      <w:proofErr w:type="gramStart"/>
      <w:r>
        <w:t>let,      300</w:t>
      </w:r>
      <w:proofErr w:type="gramEnd"/>
      <w:r>
        <w:t> Kč.</w:t>
      </w:r>
    </w:p>
    <w:p w:rsidR="00D6136B" w:rsidRDefault="00A26B0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D6136B" w:rsidRDefault="00A26B06">
      <w:pPr>
        <w:pStyle w:val="Nadpis2"/>
      </w:pPr>
      <w:bookmarkStart w:id="7" w:name="_Toc153345357"/>
      <w:r>
        <w:t>Čl. 5</w:t>
      </w:r>
      <w:r>
        <w:br/>
        <w:t>Splatnost poplatku</w:t>
      </w:r>
      <w:bookmarkEnd w:id="7"/>
    </w:p>
    <w:p w:rsidR="00D6136B" w:rsidRDefault="00A26B06">
      <w:pPr>
        <w:pStyle w:val="Odstavec"/>
        <w:numPr>
          <w:ilvl w:val="0"/>
          <w:numId w:val="5"/>
        </w:numPr>
      </w:pPr>
      <w:r>
        <w:t>Poplatek je splatný nejpozději do 31. října příslušného kalendářního roku.</w:t>
      </w:r>
    </w:p>
    <w:p w:rsidR="00D6136B" w:rsidRDefault="00A26B0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D6136B" w:rsidRDefault="00A26B06">
      <w:pPr>
        <w:pStyle w:val="Odstavec"/>
        <w:numPr>
          <w:ilvl w:val="0"/>
          <w:numId w:val="1"/>
        </w:numPr>
      </w:pPr>
      <w:r>
        <w:t>Lhůta splatnosti neskončí poplatníkovi dříve než lhůta pro podání ohlášení podle čl. 3 odst. 1 této vyhlášky.</w:t>
      </w:r>
    </w:p>
    <w:p w:rsidR="00D6136B" w:rsidRDefault="00A26B06">
      <w:pPr>
        <w:pStyle w:val="Nadpis2"/>
      </w:pPr>
      <w:bookmarkStart w:id="8" w:name="_Toc153345358"/>
      <w:r>
        <w:t>Čl. 6</w:t>
      </w:r>
      <w:r>
        <w:br/>
        <w:t xml:space="preserve"> Osvobození a úlevy</w:t>
      </w:r>
      <w:bookmarkEnd w:id="8"/>
    </w:p>
    <w:p w:rsidR="00D6136B" w:rsidRDefault="00A26B0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D6136B" w:rsidRDefault="00A26B06">
      <w:pPr>
        <w:pStyle w:val="Odstavec"/>
        <w:numPr>
          <w:ilvl w:val="0"/>
          <w:numId w:val="1"/>
        </w:numPr>
      </w:pPr>
      <w:r>
        <w:t>Od poplatku se dále osvobozují:</w:t>
      </w:r>
    </w:p>
    <w:p w:rsidR="00D6136B" w:rsidRDefault="00A26B06">
      <w:pPr>
        <w:pStyle w:val="Odstavec"/>
        <w:numPr>
          <w:ilvl w:val="1"/>
          <w:numId w:val="1"/>
        </w:numPr>
      </w:pPr>
      <w:r>
        <w:t>město Hodonín (dále město) a organizace, jejichž zřizovatelem a zakladatelem je město,</w:t>
      </w:r>
    </w:p>
    <w:p w:rsidR="00D6136B" w:rsidRDefault="00A26B06">
      <w:pPr>
        <w:pStyle w:val="Odstavec"/>
        <w:numPr>
          <w:ilvl w:val="1"/>
          <w:numId w:val="1"/>
        </w:numPr>
      </w:pPr>
      <w:r>
        <w:t>osoba, která má speciálně cvičeného psa k záchranářským účelům,</w:t>
      </w:r>
    </w:p>
    <w:p w:rsidR="00D6136B" w:rsidRDefault="00A26B06">
      <w:pPr>
        <w:pStyle w:val="Odstavec"/>
        <w:numPr>
          <w:ilvl w:val="1"/>
          <w:numId w:val="1"/>
        </w:numPr>
      </w:pPr>
      <w:r>
        <w:t>držitel psa, který si tohoto převzal z útulku pro ztracené nebo opuštěné psy do dočasné péče, a to po dobu 1 roku ode dne převzetí psa z útulku,</w:t>
      </w:r>
    </w:p>
    <w:p w:rsidR="00D6136B" w:rsidRDefault="00A26B06">
      <w:pPr>
        <w:pStyle w:val="Odstavec"/>
        <w:numPr>
          <w:ilvl w:val="1"/>
          <w:numId w:val="1"/>
        </w:numPr>
      </w:pPr>
      <w:r>
        <w:t>zařízení ústavní péče a zařízení pro výkon ústavní výchovy,</w:t>
      </w:r>
    </w:p>
    <w:p w:rsidR="00D6136B" w:rsidRDefault="00A26B06">
      <w:pPr>
        <w:pStyle w:val="Odstavec"/>
        <w:numPr>
          <w:ilvl w:val="1"/>
          <w:numId w:val="1"/>
        </w:numPr>
      </w:pPr>
      <w:r>
        <w:t>osoba, která je držitelem speciálně cvičeného psa k terapeutickým účelům.</w:t>
      </w:r>
    </w:p>
    <w:p w:rsidR="00D6136B" w:rsidRDefault="00A26B06">
      <w:pPr>
        <w:pStyle w:val="Odstavec"/>
        <w:numPr>
          <w:ilvl w:val="0"/>
          <w:numId w:val="1"/>
        </w:numPr>
      </w:pPr>
      <w:r>
        <w:t>Úleva se poskytuje:</w:t>
      </w:r>
    </w:p>
    <w:p w:rsidR="00D6136B" w:rsidRDefault="00A26B06">
      <w:pPr>
        <w:pStyle w:val="Odstavec"/>
        <w:numPr>
          <w:ilvl w:val="1"/>
          <w:numId w:val="1"/>
        </w:numPr>
        <w:ind w:left="567" w:hanging="567"/>
      </w:pPr>
      <w:r>
        <w:t>poplatníkům, od počátku roku, ve kterém dovrší 65 let, až do dne, ve kterém dovrší 65 let - za prvního psa ve výši ve výši 580 Kč,</w:t>
      </w:r>
    </w:p>
    <w:p w:rsidR="00D6136B" w:rsidRDefault="00A26B06">
      <w:pPr>
        <w:pStyle w:val="Odstavec"/>
        <w:numPr>
          <w:ilvl w:val="1"/>
          <w:numId w:val="1"/>
        </w:numPr>
        <w:ind w:left="567" w:hanging="567"/>
      </w:pPr>
      <w:r>
        <w:t>poplatníkům od počátku roku, ve kterém dovrší 65 let, až do dne, ve kterém věku 65 let dovrší - za druhého a každého dalšího psa téhož držitele ve výši 900 Kč.</w:t>
      </w:r>
    </w:p>
    <w:p w:rsidR="00D6136B" w:rsidRDefault="00A26B06">
      <w:pPr>
        <w:pStyle w:val="Odstavec"/>
        <w:numPr>
          <w:ilvl w:val="0"/>
          <w:numId w:val="1"/>
        </w:numPr>
        <w:ind w:left="567" w:hanging="567"/>
      </w:pPr>
      <w:r>
        <w:t xml:space="preserve">Údaj rozhodný pro osvobození dle </w:t>
      </w:r>
      <w:proofErr w:type="spellStart"/>
      <w:r>
        <w:t>odst</w:t>
      </w:r>
      <w:proofErr w:type="spellEnd"/>
      <w:r>
        <w:t xml:space="preserve"> 1 tohoto článku je poplatník </w:t>
      </w:r>
      <w:proofErr w:type="gramStart"/>
      <w:r>
        <w:t>povinen  ohlásit</w:t>
      </w:r>
      <w:proofErr w:type="gramEnd"/>
      <w:r>
        <w:t xml:space="preserve">  ve lhůtě do 31. 8. příslušného kalendářního roku.</w:t>
      </w:r>
    </w:p>
    <w:p w:rsidR="00D6136B" w:rsidRDefault="00A26B06">
      <w:pPr>
        <w:pStyle w:val="Odstavec"/>
        <w:numPr>
          <w:ilvl w:val="0"/>
          <w:numId w:val="1"/>
        </w:numPr>
        <w:ind w:left="567" w:hanging="567"/>
      </w:pPr>
      <w:r>
        <w:lastRenderedPageBreak/>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rsidR="00D6136B" w:rsidRDefault="00D6136B">
      <w:pPr>
        <w:pStyle w:val="Odstavec"/>
      </w:pPr>
    </w:p>
    <w:p w:rsidR="00D6136B" w:rsidRDefault="00A26B06">
      <w:pPr>
        <w:pStyle w:val="Nadpis2"/>
      </w:pPr>
      <w:bookmarkStart w:id="9" w:name="_Toc153345359"/>
      <w:r>
        <w:t>Čl. 7</w:t>
      </w:r>
      <w:r>
        <w:br/>
        <w:t xml:space="preserve"> Přechodné a zrušovací ustanovení</w:t>
      </w:r>
      <w:bookmarkEnd w:id="9"/>
    </w:p>
    <w:p w:rsidR="00D6136B" w:rsidRDefault="00A26B06">
      <w:pPr>
        <w:pStyle w:val="Odstavec"/>
        <w:numPr>
          <w:ilvl w:val="0"/>
          <w:numId w:val="7"/>
        </w:numPr>
      </w:pPr>
      <w:r>
        <w:t>Poplatkové povinnosti vzniklé před nabytím účinnosti této vyhlášky se posuzují podle dosavadních právních předpisů.</w:t>
      </w:r>
    </w:p>
    <w:p w:rsidR="00D6136B" w:rsidRDefault="00A26B06">
      <w:pPr>
        <w:pStyle w:val="Odstavec"/>
        <w:numPr>
          <w:ilvl w:val="0"/>
          <w:numId w:val="1"/>
        </w:numPr>
      </w:pPr>
      <w:r>
        <w:t>Zrušuje se obecně závazná vyhláška č. 4/2021, o místním poplatku ze psů, ze dne 2. března 2021.</w:t>
      </w:r>
    </w:p>
    <w:p w:rsidR="00D6136B" w:rsidRDefault="00A26B06">
      <w:pPr>
        <w:pStyle w:val="Nadpis2"/>
      </w:pPr>
      <w:bookmarkStart w:id="10" w:name="_Toc153345360"/>
      <w:r>
        <w:t>Čl. 8</w:t>
      </w:r>
      <w:r>
        <w:br/>
        <w:t>Účinnost</w:t>
      </w:r>
      <w:bookmarkEnd w:id="10"/>
    </w:p>
    <w:p w:rsidR="00D6136B" w:rsidRDefault="00A26B06">
      <w:pPr>
        <w:pStyle w:val="Odstavec"/>
      </w:pPr>
      <w:r>
        <w:t>Tato vyhláška nabývá účinnosti dnem 1. ledna 2024.</w:t>
      </w: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D6136B">
        <w:trPr>
          <w:trHeight w:hRule="exact" w:val="1134"/>
        </w:trPr>
        <w:tc>
          <w:tcPr>
            <w:tcW w:w="4820" w:type="dxa"/>
            <w:shd w:val="clear" w:color="auto" w:fill="auto"/>
            <w:tcMar>
              <w:top w:w="55" w:type="dxa"/>
              <w:left w:w="55" w:type="dxa"/>
              <w:bottom w:w="55" w:type="dxa"/>
              <w:right w:w="55" w:type="dxa"/>
            </w:tcMar>
            <w:vAlign w:val="bottom"/>
          </w:tcPr>
          <w:p w:rsidR="00D6136B" w:rsidRDefault="00A26B06">
            <w:pPr>
              <w:pStyle w:val="PodpisovePole"/>
            </w:pPr>
            <w:r>
              <w:t xml:space="preserve">Libor Střecha </w:t>
            </w:r>
            <w:r>
              <w:br/>
              <w:t xml:space="preserve"> starosta</w:t>
            </w:r>
          </w:p>
        </w:tc>
        <w:tc>
          <w:tcPr>
            <w:tcW w:w="4821" w:type="dxa"/>
            <w:shd w:val="clear" w:color="auto" w:fill="auto"/>
            <w:tcMar>
              <w:top w:w="55" w:type="dxa"/>
              <w:left w:w="55" w:type="dxa"/>
              <w:bottom w:w="55" w:type="dxa"/>
              <w:right w:w="55" w:type="dxa"/>
            </w:tcMar>
            <w:vAlign w:val="bottom"/>
          </w:tcPr>
          <w:p w:rsidR="00D6136B" w:rsidRDefault="00A26B06">
            <w:pPr>
              <w:pStyle w:val="PodpisovePole"/>
            </w:pPr>
            <w:r>
              <w:t xml:space="preserve">Ondřej Fialík </w:t>
            </w:r>
            <w:r>
              <w:br/>
              <w:t xml:space="preserve"> místostarosta</w:t>
            </w:r>
          </w:p>
        </w:tc>
      </w:tr>
      <w:tr w:rsidR="00D6136B">
        <w:trPr>
          <w:trHeight w:hRule="exact" w:val="1134"/>
        </w:trPr>
        <w:tc>
          <w:tcPr>
            <w:tcW w:w="4820" w:type="dxa"/>
            <w:shd w:val="clear" w:color="auto" w:fill="auto"/>
            <w:tcMar>
              <w:top w:w="55" w:type="dxa"/>
              <w:left w:w="55" w:type="dxa"/>
              <w:bottom w:w="55" w:type="dxa"/>
              <w:right w:w="55" w:type="dxa"/>
            </w:tcMar>
            <w:vAlign w:val="bottom"/>
          </w:tcPr>
          <w:p w:rsidR="00D6136B" w:rsidRDefault="00D6136B">
            <w:pPr>
              <w:pStyle w:val="PodpisovePole"/>
            </w:pPr>
          </w:p>
        </w:tc>
        <w:tc>
          <w:tcPr>
            <w:tcW w:w="4821" w:type="dxa"/>
            <w:shd w:val="clear" w:color="auto" w:fill="auto"/>
            <w:tcMar>
              <w:top w:w="55" w:type="dxa"/>
              <w:left w:w="55" w:type="dxa"/>
              <w:bottom w:w="55" w:type="dxa"/>
              <w:right w:w="55" w:type="dxa"/>
            </w:tcMar>
            <w:vAlign w:val="bottom"/>
          </w:tcPr>
          <w:p w:rsidR="00D6136B" w:rsidRDefault="00D6136B">
            <w:pPr>
              <w:pStyle w:val="PodpisovePole"/>
            </w:pPr>
          </w:p>
        </w:tc>
      </w:tr>
    </w:tbl>
    <w:p w:rsidR="00D6136B" w:rsidRDefault="00D6136B"/>
    <w:sectPr w:rsidR="00D6136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D2D" w:rsidRDefault="00FD4D2D">
      <w:r>
        <w:separator/>
      </w:r>
    </w:p>
  </w:endnote>
  <w:endnote w:type="continuationSeparator" w:id="0">
    <w:p w:rsidR="00FD4D2D" w:rsidRDefault="00FD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PingFang SC">
    <w:charset w:val="00"/>
    <w:family w:val="auto"/>
    <w:pitch w:val="variable"/>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D2D" w:rsidRDefault="00FD4D2D">
      <w:r>
        <w:rPr>
          <w:color w:val="000000"/>
        </w:rPr>
        <w:separator/>
      </w:r>
    </w:p>
  </w:footnote>
  <w:footnote w:type="continuationSeparator" w:id="0">
    <w:p w:rsidR="00FD4D2D" w:rsidRDefault="00FD4D2D">
      <w:r>
        <w:continuationSeparator/>
      </w:r>
    </w:p>
  </w:footnote>
  <w:footnote w:id="1">
    <w:p w:rsidR="00D6136B" w:rsidRDefault="00A26B06">
      <w:pPr>
        <w:pStyle w:val="Footnote"/>
      </w:pPr>
      <w:r>
        <w:rPr>
          <w:rStyle w:val="Znakapoznpodarou"/>
        </w:rPr>
        <w:footnoteRef/>
      </w:r>
      <w:r>
        <w:t>§ 2 odst. 5 zákona o místních poplatcích</w:t>
      </w:r>
    </w:p>
  </w:footnote>
  <w:footnote w:id="2">
    <w:p w:rsidR="00D6136B" w:rsidRDefault="00A26B06">
      <w:pPr>
        <w:pStyle w:val="Footnote"/>
      </w:pPr>
      <w:r>
        <w:rPr>
          <w:rStyle w:val="Znakapoznpodarou"/>
        </w:rPr>
        <w:footnoteRef/>
      </w:r>
      <w:r>
        <w:t>§ 15 odst. 1 zákona o místních poplatcích</w:t>
      </w:r>
    </w:p>
  </w:footnote>
  <w:footnote w:id="3">
    <w:p w:rsidR="00D6136B" w:rsidRDefault="00A26B06">
      <w:pPr>
        <w:pStyle w:val="Footnote"/>
      </w:pPr>
      <w:r>
        <w:rPr>
          <w:rStyle w:val="Znakapoznpodarou"/>
        </w:rPr>
        <w:footnoteRef/>
      </w:r>
      <w:r>
        <w:t>§ 2 odst. 1 a 4 zákona o místních poplatcích</w:t>
      </w:r>
    </w:p>
  </w:footnote>
  <w:footnote w:id="4">
    <w:p w:rsidR="00D6136B" w:rsidRDefault="00A26B06">
      <w:pPr>
        <w:pStyle w:val="Footnote"/>
      </w:pPr>
      <w:r>
        <w:rPr>
          <w:rStyle w:val="Znakapoznpodarou"/>
        </w:rPr>
        <w:footnoteRef/>
      </w:r>
      <w:r>
        <w:t>§ 2 odst. 2 zákona o místních poplatcích</w:t>
      </w:r>
    </w:p>
  </w:footnote>
  <w:footnote w:id="5">
    <w:p w:rsidR="00D6136B" w:rsidRDefault="00A26B0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D6136B" w:rsidRDefault="00A26B06">
      <w:pPr>
        <w:pStyle w:val="Footnote"/>
      </w:pPr>
      <w:r>
        <w:rPr>
          <w:rStyle w:val="Znakapoznpodarou"/>
        </w:rPr>
        <w:footnoteRef/>
      </w:r>
      <w:r>
        <w:t>§ 14a odst. 4 zákona o místních poplatcích</w:t>
      </w:r>
    </w:p>
  </w:footnote>
  <w:footnote w:id="7">
    <w:p w:rsidR="00D6136B" w:rsidRDefault="00A26B06">
      <w:pPr>
        <w:pStyle w:val="Footnote"/>
      </w:pPr>
      <w:r>
        <w:rPr>
          <w:rStyle w:val="Znakapoznpodarou"/>
        </w:rPr>
        <w:footnoteRef/>
      </w:r>
      <w:r>
        <w:t>§ 2 odst. 3 zákona o místních poplatcích</w:t>
      </w:r>
    </w:p>
  </w:footnote>
  <w:footnote w:id="8">
    <w:p w:rsidR="00D6136B" w:rsidRDefault="00A26B06">
      <w:pPr>
        <w:pStyle w:val="Footnote"/>
      </w:pPr>
      <w:r>
        <w:rPr>
          <w:rStyle w:val="Znakapoznpodarou"/>
        </w:rPr>
        <w:footnoteRef/>
      </w:r>
      <w:r>
        <w:t>§ 2 odst. 2 zákona o místních poplatcích</w:t>
      </w:r>
    </w:p>
  </w:footnote>
  <w:footnote w:id="9">
    <w:p w:rsidR="00D6136B" w:rsidRDefault="00A26B0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A7C76"/>
    <w:multiLevelType w:val="multilevel"/>
    <w:tmpl w:val="14123CA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6B"/>
    <w:rsid w:val="008619B2"/>
    <w:rsid w:val="009C25D3"/>
    <w:rsid w:val="00A26B06"/>
    <w:rsid w:val="00D6136B"/>
    <w:rsid w:val="00FD4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F88C4-E0F6-4610-A298-DFBF3304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kladntext">
    <w:name w:val="Body Text"/>
    <w:basedOn w:val="Normln"/>
    <w:pPr>
      <w:suppressAutoHyphens w:val="0"/>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rPr>
      <w:rFonts w:ascii="Times New Roman" w:eastAsia="Times New Roman" w:hAnsi="Times New Roman" w:cs="Times New Roman"/>
      <w:kern w:val="0"/>
      <w:lang w:eastAsia="cs-CZ" w:bidi="ar-SA"/>
    </w:rPr>
  </w:style>
  <w:style w:type="paragraph" w:styleId="Obsah1">
    <w:name w:val="toc 1"/>
    <w:basedOn w:val="Normln"/>
    <w:next w:val="Normln"/>
    <w:autoRedefine/>
    <w:pPr>
      <w:suppressAutoHyphens w:val="0"/>
      <w:textAlignment w:val="auto"/>
    </w:pPr>
    <w:rPr>
      <w:rFonts w:ascii="Times New Roman" w:eastAsia="Times New Roman" w:hAnsi="Times New Roman" w:cs="Times New Roman"/>
      <w:kern w:val="0"/>
      <w:lang w:eastAsia="cs-CZ" w:bidi="ar-SA"/>
    </w:rPr>
  </w:style>
  <w:style w:type="character" w:styleId="Hypertextovodkaz">
    <w:name w:val="Hyperlink"/>
    <w:rPr>
      <w:color w:val="0000FF"/>
      <w:u w:val="single"/>
    </w:rPr>
  </w:style>
  <w:style w:type="paragraph" w:customStyle="1" w:styleId="Default">
    <w:name w:val="Default"/>
    <w:pPr>
      <w:autoSpaceDE w:val="0"/>
      <w:textAlignment w:val="auto"/>
    </w:pPr>
    <w:rPr>
      <w:rFonts w:ascii="Times New Roman" w:eastAsia="Times New Roman" w:hAnsi="Times New Roman" w:cs="Times New Roman"/>
      <w:color w:val="000000"/>
      <w:kern w:val="0"/>
      <w:lang w:eastAsia="cs-CZ" w:bidi="ar-SA"/>
    </w:rPr>
  </w:style>
  <w:style w:type="paragraph" w:styleId="Obsah2">
    <w:name w:val="toc 2"/>
    <w:basedOn w:val="Normln"/>
    <w:next w:val="Normln"/>
    <w:autoRedefine/>
    <w:pPr>
      <w:spacing w:after="100"/>
      <w:ind w:left="24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772</Words>
  <Characters>4561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Bulová Dagmar</dc:creator>
  <cp:lastModifiedBy>Staňková Jana DiS.</cp:lastModifiedBy>
  <cp:revision>4</cp:revision>
  <dcterms:created xsi:type="dcterms:W3CDTF">2023-12-13T07:08:00Z</dcterms:created>
  <dcterms:modified xsi:type="dcterms:W3CDTF">2023-12-13T08:07:00Z</dcterms:modified>
</cp:coreProperties>
</file>