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43" w:rsidRPr="001655ED" w:rsidRDefault="001E0743" w:rsidP="001E0743">
      <w:pPr>
        <w:jc w:val="center"/>
        <w:outlineLvl w:val="0"/>
        <w:rPr>
          <w:b/>
          <w:sz w:val="40"/>
          <w:szCs w:val="40"/>
        </w:rPr>
      </w:pPr>
      <w:bookmarkStart w:id="0" w:name="_GoBack"/>
      <w:bookmarkEnd w:id="0"/>
      <w:r w:rsidRPr="001655ED">
        <w:rPr>
          <w:b/>
          <w:sz w:val="40"/>
          <w:szCs w:val="40"/>
        </w:rPr>
        <w:t xml:space="preserve">O B E C   </w:t>
      </w:r>
      <w:r w:rsidR="001655ED" w:rsidRPr="001655ED">
        <w:rPr>
          <w:b/>
          <w:sz w:val="40"/>
          <w:szCs w:val="40"/>
        </w:rPr>
        <w:t>J I Ř E T Í N   P O D   J E D L O V O U</w:t>
      </w:r>
    </w:p>
    <w:p w:rsidR="001E0743" w:rsidRPr="001655ED" w:rsidRDefault="001E0743" w:rsidP="001E0743">
      <w:pPr>
        <w:jc w:val="center"/>
        <w:outlineLvl w:val="0"/>
        <w:rPr>
          <w:b/>
          <w:sz w:val="12"/>
          <w:szCs w:val="40"/>
        </w:rPr>
      </w:pPr>
    </w:p>
    <w:p w:rsidR="001E0743" w:rsidRPr="001655ED" w:rsidRDefault="001E0743" w:rsidP="001E0743">
      <w:pPr>
        <w:jc w:val="center"/>
        <w:rPr>
          <w:sz w:val="20"/>
        </w:rPr>
      </w:pPr>
    </w:p>
    <w:p w:rsidR="001E0743" w:rsidRPr="001655ED" w:rsidRDefault="001E0743" w:rsidP="001E0743">
      <w:pPr>
        <w:jc w:val="center"/>
        <w:outlineLvl w:val="0"/>
        <w:rPr>
          <w:b/>
          <w:sz w:val="32"/>
          <w:szCs w:val="32"/>
        </w:rPr>
      </w:pPr>
      <w:r w:rsidRPr="001655ED">
        <w:rPr>
          <w:b/>
          <w:sz w:val="32"/>
          <w:szCs w:val="32"/>
        </w:rPr>
        <w:t xml:space="preserve">ZASTUPITELSTVO OBCE </w:t>
      </w:r>
      <w:r w:rsidR="001655ED" w:rsidRPr="001655ED">
        <w:rPr>
          <w:b/>
          <w:sz w:val="32"/>
          <w:szCs w:val="32"/>
        </w:rPr>
        <w:t>JIŘETÍN POD JEDLOVOU</w:t>
      </w:r>
    </w:p>
    <w:p w:rsidR="008D25F3" w:rsidRPr="001655ED" w:rsidRDefault="008D25F3" w:rsidP="008D25F3">
      <w:pPr>
        <w:jc w:val="center"/>
        <w:rPr>
          <w:b/>
          <w:bCs/>
        </w:rPr>
      </w:pPr>
    </w:p>
    <w:p w:rsidR="008D25F3" w:rsidRPr="001655ED" w:rsidRDefault="008D25F3" w:rsidP="008D25F3">
      <w:pPr>
        <w:jc w:val="center"/>
        <w:rPr>
          <w:b/>
          <w:bCs/>
          <w:sz w:val="32"/>
          <w:szCs w:val="32"/>
        </w:rPr>
      </w:pPr>
      <w:r w:rsidRPr="001655ED">
        <w:rPr>
          <w:b/>
          <w:bCs/>
          <w:sz w:val="32"/>
          <w:szCs w:val="32"/>
        </w:rPr>
        <w:t>Obecně závazná vyhláška</w:t>
      </w:r>
    </w:p>
    <w:p w:rsidR="008D25F3" w:rsidRPr="001655ED" w:rsidRDefault="008D25F3" w:rsidP="008D25F3">
      <w:pPr>
        <w:jc w:val="center"/>
        <w:rPr>
          <w:b/>
          <w:bCs/>
        </w:rPr>
      </w:pP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5ED">
        <w:rPr>
          <w:b/>
          <w:bCs/>
          <w:sz w:val="28"/>
          <w:szCs w:val="28"/>
        </w:rPr>
        <w:t xml:space="preserve">o regulaci hlučné zábavní pyrotechniky </w:t>
      </w: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5ED">
        <w:rPr>
          <w:b/>
          <w:sz w:val="28"/>
          <w:szCs w:val="28"/>
        </w:rPr>
        <w:t>a o stanovení výjimečných případů, kdy doba nočního</w:t>
      </w:r>
      <w:r w:rsidR="00834F15" w:rsidRPr="001655ED">
        <w:rPr>
          <w:b/>
          <w:sz w:val="28"/>
          <w:szCs w:val="28"/>
        </w:rPr>
        <w:t xml:space="preserve"> klidu je vymezena dobou kratší</w:t>
      </w:r>
      <w:r w:rsidR="001655ED" w:rsidRPr="001655ED">
        <w:rPr>
          <w:b/>
          <w:sz w:val="28"/>
          <w:szCs w:val="28"/>
        </w:rPr>
        <w:t>, nebo při nichž nemusí být dodržována doba nočního klidu</w:t>
      </w:r>
    </w:p>
    <w:p w:rsidR="001E0743" w:rsidRPr="001655ED" w:rsidRDefault="001E0743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:rsidR="008D25F3" w:rsidRPr="001655ED" w:rsidRDefault="008D25F3" w:rsidP="008D25F3">
      <w:pPr>
        <w:jc w:val="both"/>
        <w:rPr>
          <w:i/>
        </w:rPr>
      </w:pPr>
      <w:r w:rsidRPr="001655ED">
        <w:rPr>
          <w:i/>
        </w:rPr>
        <w:t xml:space="preserve">Zastupitelstvo </w:t>
      </w:r>
      <w:r w:rsidR="000A03FB" w:rsidRPr="001655ED">
        <w:rPr>
          <w:i/>
        </w:rPr>
        <w:t xml:space="preserve">obce </w:t>
      </w:r>
      <w:r w:rsidR="001655ED" w:rsidRPr="001655ED">
        <w:rPr>
          <w:i/>
        </w:rPr>
        <w:t>Jiřetín pod Jedlovou</w:t>
      </w:r>
      <w:r w:rsidRPr="001655ED">
        <w:rPr>
          <w:i/>
        </w:rPr>
        <w:t xml:space="preserve"> se na svém zasedání dne </w:t>
      </w:r>
      <w:r w:rsidR="001655ED" w:rsidRPr="001655ED">
        <w:rPr>
          <w:i/>
        </w:rPr>
        <w:t>20. prosince</w:t>
      </w:r>
      <w:r w:rsidRPr="001655ED">
        <w:rPr>
          <w:i/>
        </w:rPr>
        <w:t xml:space="preserve"> 2022 usneslo usnesením č. _________ vydat na základě § 10 písm. a)</w:t>
      </w:r>
      <w:r w:rsidR="008B1798">
        <w:rPr>
          <w:i/>
        </w:rPr>
        <w:t>, b)</w:t>
      </w:r>
      <w:r w:rsidRPr="001655ED">
        <w:rPr>
          <w:i/>
        </w:rPr>
        <w:t xml:space="preserve"> a d) a § 84 odst. 2 písm. h) zákona č.</w:t>
      </w:r>
      <w:r w:rsidR="00832D59" w:rsidRPr="001655ED">
        <w:rPr>
          <w:i/>
        </w:rPr>
        <w:t> </w:t>
      </w:r>
      <w:r w:rsidRPr="001655ED">
        <w:rPr>
          <w:i/>
        </w:rPr>
        <w:t>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:rsidR="001E0743" w:rsidRPr="001655ED" w:rsidRDefault="001E0743" w:rsidP="008D25F3">
      <w:pPr>
        <w:autoSpaceDE w:val="0"/>
        <w:autoSpaceDN w:val="0"/>
        <w:adjustRightInd w:val="0"/>
        <w:rPr>
          <w:highlight w:val="yellow"/>
        </w:rPr>
      </w:pP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1</w:t>
      </w: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Úvodní ustanovení</w:t>
      </w:r>
    </w:p>
    <w:p w:rsidR="008D25F3" w:rsidRPr="001655ED" w:rsidRDefault="008D25F3" w:rsidP="008D25F3">
      <w:pPr>
        <w:autoSpaceDE w:val="0"/>
        <w:autoSpaceDN w:val="0"/>
        <w:adjustRightInd w:val="0"/>
        <w:ind w:firstLine="708"/>
        <w:rPr>
          <w:sz w:val="20"/>
        </w:rPr>
      </w:pPr>
    </w:p>
    <w:p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Činností, která by mohla narušit veřejný pořádek a občanské soužití </w:t>
      </w:r>
      <w:r w:rsidR="00834F15" w:rsidRPr="001655ED">
        <w:t xml:space="preserve">v obci </w:t>
      </w:r>
      <w:r w:rsidR="001655ED" w:rsidRPr="001655ED">
        <w:t>Jiřetín pod</w:t>
      </w:r>
      <w:r w:rsidR="009572D7">
        <w:t> </w:t>
      </w:r>
      <w:r w:rsidR="001655ED" w:rsidRPr="001655ED">
        <w:t>Jedlovou</w:t>
      </w:r>
      <w:r w:rsidR="00834F15" w:rsidRPr="001655ED">
        <w:t xml:space="preserve"> </w:t>
      </w:r>
      <w:r w:rsidRPr="001655ED">
        <w:t>(dále jen „</w:t>
      </w:r>
      <w:r w:rsidR="00834F15" w:rsidRPr="001655ED">
        <w:t>obec</w:t>
      </w:r>
      <w:r w:rsidRPr="001655ED">
        <w:t>“), je používání hlučné zábavní pyrotechniky. </w:t>
      </w:r>
    </w:p>
    <w:p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Cílem této vyhlášky je </w:t>
      </w:r>
    </w:p>
    <w:p w:rsidR="008D25F3" w:rsidRPr="001655ED" w:rsidRDefault="008D25F3" w:rsidP="008D25F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 xml:space="preserve">zlepšení pohody bydlení a pobytu v otevřených prostorech </w:t>
      </w:r>
      <w:r w:rsidR="00834F15" w:rsidRPr="001655ED">
        <w:t>obce</w:t>
      </w:r>
      <w:r w:rsidR="009572D7">
        <w:t xml:space="preserve"> v zastavěném území obce</w:t>
      </w:r>
      <w:r w:rsidRPr="001655ED">
        <w:t xml:space="preserve">, a to přiměřeným omezením činnosti uvedené v odst. 1, </w:t>
      </w:r>
    </w:p>
    <w:p w:rsidR="008D25F3" w:rsidRPr="001655ED" w:rsidRDefault="008D25F3" w:rsidP="008D25F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</w:t>
      </w:r>
      <w:r w:rsidR="001655ED" w:rsidRPr="001655ED">
        <w:t>, nebo při nichž nemusí být dodržována doba nočního klidu</w:t>
      </w:r>
      <w:r w:rsidRPr="001655ED">
        <w:t>.</w:t>
      </w:r>
      <w:r w:rsidRPr="001655ED">
        <w:rPr>
          <w:rStyle w:val="Znakapoznpodarou"/>
        </w:rPr>
        <w:footnoteReference w:id="1"/>
      </w:r>
      <w:r w:rsidRPr="001655ED">
        <w:rPr>
          <w:vertAlign w:val="superscript"/>
        </w:rPr>
        <w:t>)</w:t>
      </w:r>
    </w:p>
    <w:p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>Ochranu nočního klidu upravuje zvláštní zákon.</w:t>
      </w:r>
      <w:r w:rsidRPr="001655ED">
        <w:rPr>
          <w:rStyle w:val="Znakapoznpodarou"/>
        </w:rPr>
        <w:footnoteReference w:id="2"/>
      </w:r>
      <w:r w:rsidRPr="001655ED">
        <w:rPr>
          <w:vertAlign w:val="superscript"/>
        </w:rPr>
        <w:t>)</w:t>
      </w:r>
    </w:p>
    <w:p w:rsidR="008D25F3" w:rsidRPr="001655ED" w:rsidRDefault="008D25F3" w:rsidP="00783D8B">
      <w:pPr>
        <w:autoSpaceDE w:val="0"/>
        <w:autoSpaceDN w:val="0"/>
        <w:adjustRightInd w:val="0"/>
        <w:ind w:firstLine="708"/>
        <w:jc w:val="both"/>
      </w:pPr>
    </w:p>
    <w:p w:rsidR="008D25F3" w:rsidRPr="008B1798" w:rsidRDefault="008D25F3" w:rsidP="00783D8B">
      <w:pPr>
        <w:spacing w:line="259" w:lineRule="auto"/>
        <w:jc w:val="center"/>
        <w:rPr>
          <w:b/>
          <w:bCs/>
        </w:rPr>
      </w:pPr>
      <w:r w:rsidRPr="008B1798">
        <w:rPr>
          <w:b/>
          <w:bCs/>
        </w:rPr>
        <w:t>Článek 2</w:t>
      </w:r>
    </w:p>
    <w:p w:rsidR="008D25F3" w:rsidRPr="008B1798" w:rsidRDefault="008D25F3" w:rsidP="00783D8B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Omezení používání hlučné zábavní pyrotechniky</w:t>
      </w:r>
    </w:p>
    <w:p w:rsidR="008D25F3" w:rsidRPr="008B1798" w:rsidRDefault="008D25F3" w:rsidP="00783D8B">
      <w:pPr>
        <w:autoSpaceDE w:val="0"/>
        <w:autoSpaceDN w:val="0"/>
        <w:adjustRightInd w:val="0"/>
        <w:rPr>
          <w:sz w:val="20"/>
        </w:rPr>
      </w:pPr>
    </w:p>
    <w:p w:rsidR="008B1798" w:rsidRPr="008B1798" w:rsidRDefault="008B1798" w:rsidP="008B1798">
      <w:pPr>
        <w:autoSpaceDE w:val="0"/>
        <w:autoSpaceDN w:val="0"/>
        <w:adjustRightInd w:val="0"/>
        <w:jc w:val="both"/>
      </w:pPr>
      <w:r w:rsidRPr="008B1798">
        <w:t>Používání hlučné zábavní pyrotechniky je zakázáno na všech veřejných prostranstvích v zastavěném území obce a dále na všech místech v obci, pokud hluk v intenzitě způsobilé narušit veřejný pořádek přesáhne na veřejné prostranství nebo nemovitost jiné osoby nacházející se v zastavěném území obce.</w:t>
      </w:r>
    </w:p>
    <w:p w:rsidR="009572D7" w:rsidRDefault="009572D7" w:rsidP="008D25F3">
      <w:pPr>
        <w:autoSpaceDE w:val="0"/>
        <w:autoSpaceDN w:val="0"/>
        <w:adjustRightInd w:val="0"/>
        <w:jc w:val="center"/>
        <w:rPr>
          <w:b/>
          <w:bCs/>
        </w:rPr>
      </w:pPr>
    </w:p>
    <w:p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Článek 3</w:t>
      </w:r>
    </w:p>
    <w:p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Výjimky z omezení používání hlučné zábavní pyrotechniky</w:t>
      </w:r>
    </w:p>
    <w:p w:rsidR="008D25F3" w:rsidRPr="008B1798" w:rsidRDefault="008D25F3" w:rsidP="008D25F3">
      <w:pPr>
        <w:autoSpaceDE w:val="0"/>
        <w:autoSpaceDN w:val="0"/>
        <w:adjustRightInd w:val="0"/>
        <w:jc w:val="both"/>
      </w:pPr>
    </w:p>
    <w:p w:rsidR="00832D59" w:rsidRPr="008B1798" w:rsidRDefault="001E0743" w:rsidP="008B1798">
      <w:pPr>
        <w:autoSpaceDE w:val="0"/>
        <w:autoSpaceDN w:val="0"/>
        <w:adjustRightInd w:val="0"/>
        <w:jc w:val="both"/>
      </w:pPr>
      <w:r w:rsidRPr="008B1798">
        <w:t>Zákaz podle čl. 2 neplatí</w:t>
      </w:r>
      <w:r w:rsidR="008B1798" w:rsidRPr="008B1798">
        <w:t xml:space="preserve"> </w:t>
      </w:r>
      <w:r w:rsidR="008D25F3" w:rsidRPr="008B1798">
        <w:t xml:space="preserve">od </w:t>
      </w:r>
      <w:r w:rsidR="008B1798" w:rsidRPr="008B1798">
        <w:t>12</w:t>
      </w:r>
      <w:r w:rsidR="008D25F3" w:rsidRPr="008B1798">
        <w:t>:00 hodin dne 31. prosince do </w:t>
      </w:r>
      <w:r w:rsidR="008B1798" w:rsidRPr="008B1798">
        <w:t>12</w:t>
      </w:r>
      <w:r w:rsidR="008D25F3" w:rsidRPr="008B1798">
        <w:t>:00 hodin dne 1. ledna následujícího roku</w:t>
      </w:r>
      <w:r w:rsidR="008B1798" w:rsidRPr="008B1798">
        <w:t>.</w:t>
      </w:r>
    </w:p>
    <w:p w:rsidR="008D25F3" w:rsidRPr="008B1798" w:rsidRDefault="008D25F3" w:rsidP="008D25F3">
      <w:pPr>
        <w:autoSpaceDE w:val="0"/>
        <w:autoSpaceDN w:val="0"/>
        <w:adjustRightInd w:val="0"/>
        <w:ind w:left="714"/>
        <w:jc w:val="both"/>
      </w:pPr>
    </w:p>
    <w:p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lastRenderedPageBreak/>
        <w:t>Článek 4</w:t>
      </w:r>
    </w:p>
    <w:p w:rsidR="008D25F3" w:rsidRPr="008B1798" w:rsidRDefault="008D25F3" w:rsidP="008D25F3">
      <w:pPr>
        <w:autoSpaceDE w:val="0"/>
        <w:jc w:val="center"/>
        <w:rPr>
          <w:b/>
        </w:rPr>
      </w:pPr>
      <w:r w:rsidRPr="008B1798">
        <w:rPr>
          <w:b/>
          <w:bCs/>
        </w:rPr>
        <w:t>Výjimečné případy, kdy doba nočního klidu je vymezena dobou kratší</w:t>
      </w:r>
      <w:r w:rsidR="008B1798" w:rsidRPr="008B1798">
        <w:rPr>
          <w:b/>
          <w:bCs/>
        </w:rPr>
        <w:t xml:space="preserve">, nebo při nichž </w:t>
      </w:r>
      <w:r w:rsidR="008B1798" w:rsidRPr="008B1798">
        <w:rPr>
          <w:b/>
        </w:rPr>
        <w:t>nemusí být dodržována doba nočního klidu</w:t>
      </w:r>
      <w:r w:rsidR="008B1798" w:rsidRPr="008B1798">
        <w:rPr>
          <w:b/>
          <w:bCs/>
        </w:rPr>
        <w:t xml:space="preserve"> </w:t>
      </w:r>
    </w:p>
    <w:p w:rsidR="008D25F3" w:rsidRPr="008B1798" w:rsidRDefault="008D25F3" w:rsidP="008D25F3">
      <w:pPr>
        <w:autoSpaceDE w:val="0"/>
        <w:autoSpaceDN w:val="0"/>
        <w:adjustRightInd w:val="0"/>
        <w:jc w:val="both"/>
      </w:pPr>
    </w:p>
    <w:p w:rsidR="008B1798" w:rsidRPr="00FF3DAA" w:rsidRDefault="008B1798" w:rsidP="008B179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FF3DAA">
        <w:t>Doba nočního klidu nemusí být dodržována v noci z 31. prosince na 1. ledna následujícího roku.</w:t>
      </w:r>
    </w:p>
    <w:p w:rsidR="001655ED" w:rsidRPr="008B1798" w:rsidRDefault="008D25F3" w:rsidP="001E074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8B1798">
        <w:t>Doba nočního klidu je vymeze</w:t>
      </w:r>
      <w:r w:rsidR="001E0743" w:rsidRPr="008B1798">
        <w:t xml:space="preserve">na kratší dobou na území celé obce na dobu </w:t>
      </w:r>
      <w:r w:rsidRPr="008B1798">
        <w:t>od 2:00 hodin do</w:t>
      </w:r>
      <w:r w:rsidR="001E0743" w:rsidRPr="008B1798">
        <w:t> </w:t>
      </w:r>
      <w:r w:rsidRPr="008B1798">
        <w:t>6:00 hodin</w:t>
      </w:r>
      <w:r w:rsidR="001655ED" w:rsidRPr="008B1798">
        <w:t>:</w:t>
      </w:r>
    </w:p>
    <w:p w:rsidR="008D25F3" w:rsidRPr="00B12D21" w:rsidRDefault="008D25F3" w:rsidP="001655E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B12D21">
        <w:t>v</w:t>
      </w:r>
      <w:r w:rsidR="008B1798" w:rsidRPr="00B12D21">
        <w:t> jednu noc ze soboty v měsíci únoru nebo březnu na následující neděli</w:t>
      </w:r>
      <w:r w:rsidR="008B1798" w:rsidRPr="00B12D21">
        <w:rPr>
          <w:rStyle w:val="Znakapoznpodarou"/>
        </w:rPr>
        <w:footnoteReference w:id="3"/>
      </w:r>
      <w:r w:rsidR="008B1798" w:rsidRPr="00B12D21">
        <w:rPr>
          <w:vertAlign w:val="superscript"/>
        </w:rPr>
        <w:t>)</w:t>
      </w:r>
      <w:r w:rsidR="008B1798" w:rsidRPr="00B12D21">
        <w:t>, a to pouze v případě, bude-li se konat v takové noci tradiční kulturní akce „Masopustní veselice“,</w:t>
      </w:r>
    </w:p>
    <w:p w:rsidR="001655ED" w:rsidRDefault="00B12D21" w:rsidP="001655E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v jednu noc ze soboty před nebo po 30. 4. kalendářního roku na následující neděli, </w:t>
      </w:r>
      <w:r w:rsidRPr="00B12D21">
        <w:t>a</w:t>
      </w:r>
      <w:r>
        <w:t> </w:t>
      </w:r>
      <w:r w:rsidRPr="00B12D21">
        <w:t>to</w:t>
      </w:r>
      <w:r>
        <w:t> </w:t>
      </w:r>
      <w:r w:rsidRPr="00B12D21">
        <w:t>pouze v případě, bude-li se konat v takové noci tradiční kulturní akce „</w:t>
      </w:r>
      <w:r>
        <w:t>Pálení čarodějnic</w:t>
      </w:r>
      <w:r w:rsidRPr="00B12D21">
        <w:t>“,</w:t>
      </w:r>
    </w:p>
    <w:p w:rsidR="00B12D21" w:rsidRDefault="00B12D21" w:rsidP="00B12D2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v nejvýše čtyři noci ze soboty v měsíci červenci na následující neděli a v nejvýše dvě noci v měsíci srpnu na následující neděli, </w:t>
      </w:r>
      <w:r w:rsidRPr="00B12D21">
        <w:t>a to pouze v případě, bude-li se konat v takové noci tradiční kulturní akce „</w:t>
      </w:r>
      <w:r>
        <w:t>Taneční zábava</w:t>
      </w:r>
      <w:r w:rsidRPr="00B12D21">
        <w:t>“,</w:t>
      </w:r>
    </w:p>
    <w:p w:rsidR="00B12D21" w:rsidRPr="00B12D21" w:rsidRDefault="00B12D21" w:rsidP="00B12D2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B12D21">
        <w:t xml:space="preserve">v jednu noc ze soboty v měsíci </w:t>
      </w:r>
      <w:r>
        <w:t>červenci</w:t>
      </w:r>
      <w:r w:rsidRPr="00B12D21">
        <w:t xml:space="preserve"> nebo </w:t>
      </w:r>
      <w:r>
        <w:t>srpnu</w:t>
      </w:r>
      <w:r w:rsidRPr="00B12D21">
        <w:t xml:space="preserve"> na následující neděli, a to pouze v případě, bude-li se konat v takové noci tradiční kulturní akce „</w:t>
      </w:r>
      <w:r>
        <w:t>Tolštejnské slavnosti</w:t>
      </w:r>
      <w:r w:rsidRPr="00B12D21">
        <w:t>“,</w:t>
      </w:r>
    </w:p>
    <w:p w:rsidR="00B12D21" w:rsidRDefault="00B12D21" w:rsidP="00B12D2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v jednu noc ze soboty před nebo po 31. 10. kalendářního roku na následující neděli, </w:t>
      </w:r>
      <w:r w:rsidRPr="00B12D21">
        <w:t>a</w:t>
      </w:r>
      <w:r>
        <w:t> </w:t>
      </w:r>
      <w:r w:rsidRPr="00B12D21">
        <w:t>to</w:t>
      </w:r>
      <w:r>
        <w:t> </w:t>
      </w:r>
      <w:r w:rsidRPr="00B12D21">
        <w:t>pouze v případě, bude-li se konat v takové noci tradiční kulturní akce „</w:t>
      </w:r>
      <w:r>
        <w:t>Halloweenský bál</w:t>
      </w:r>
      <w:r w:rsidRPr="00B12D21">
        <w:t>“,</w:t>
      </w:r>
    </w:p>
    <w:p w:rsidR="00B12D21" w:rsidRDefault="00B12D21" w:rsidP="001655E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v jednu noc ze soboty před první adventní nedělí na </w:t>
      </w:r>
      <w:r w:rsidR="009572D7">
        <w:t>takovou adventní neděli</w:t>
      </w:r>
      <w:r>
        <w:t>,</w:t>
      </w:r>
      <w:r w:rsidRPr="00B12D21">
        <w:t xml:space="preserve"> a to pouze v případě, bude-li se konat v takové noci tradiční kulturní akce „</w:t>
      </w:r>
      <w:r>
        <w:t>Rozsvícení vánočního stromu</w:t>
      </w:r>
      <w:r w:rsidRPr="00B12D21">
        <w:t>“,</w:t>
      </w:r>
    </w:p>
    <w:p w:rsidR="00B12D21" w:rsidRPr="00B12D21" w:rsidRDefault="009572D7" w:rsidP="009572D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>v jednu noc ze soboty před nebo po 13. 12. (sv. Lucie) na následující neděli,</w:t>
      </w:r>
      <w:r w:rsidRPr="00B12D21">
        <w:t xml:space="preserve"> a to pouze v případě, bude-li se konat v takové noci tradiční kulturní akce „</w:t>
      </w:r>
      <w:r>
        <w:t>Svatojiřetínský advent“.</w:t>
      </w:r>
    </w:p>
    <w:p w:rsidR="008B1798" w:rsidRPr="001901C9" w:rsidRDefault="008B1798" w:rsidP="008B179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1901C9">
        <w:t>Pořadatel akce dle</w:t>
      </w:r>
      <w:r>
        <w:t xml:space="preserve"> odst. 2 </w:t>
      </w:r>
      <w:r w:rsidRPr="001901C9">
        <w:t xml:space="preserve">je povinen informovat o termínu konání akce </w:t>
      </w:r>
      <w:r w:rsidR="00B12D21">
        <w:t>Obecní</w:t>
      </w:r>
      <w:r w:rsidRPr="001901C9">
        <w:t xml:space="preserve"> úřad </w:t>
      </w:r>
      <w:r w:rsidR="00B12D21">
        <w:t xml:space="preserve">Jiřetín pod Jedlovou </w:t>
      </w:r>
      <w:r w:rsidRPr="001901C9">
        <w:t xml:space="preserve">nejméně 20 dnů před konáním akce. Termín konání akcí se zveřejňuje na úřední desce </w:t>
      </w:r>
      <w:r w:rsidR="00B12D21">
        <w:t xml:space="preserve">Obecního úřadu Jiřetín pod Jedlovou </w:t>
      </w:r>
      <w:r w:rsidRPr="001901C9">
        <w:t>nejméně po dobu 15 dnů přede dnem konání takové akce</w:t>
      </w:r>
      <w:r w:rsidRPr="001901C9">
        <w:rPr>
          <w:rStyle w:val="Znakapoznpodarou"/>
        </w:rPr>
        <w:footnoteReference w:id="4"/>
      </w:r>
      <w:r w:rsidRPr="008B1798">
        <w:rPr>
          <w:vertAlign w:val="superscript"/>
        </w:rPr>
        <w:t>)</w:t>
      </w:r>
      <w:r w:rsidRPr="001901C9">
        <w:t>; zveřejňování</w:t>
      </w:r>
      <w:r w:rsidRPr="001901C9">
        <w:rPr>
          <w:rStyle w:val="Znakapoznpodarou"/>
        </w:rPr>
        <w:footnoteReference w:id="5"/>
      </w:r>
      <w:r w:rsidRPr="008B1798">
        <w:rPr>
          <w:vertAlign w:val="superscript"/>
        </w:rPr>
        <w:t>)</w:t>
      </w:r>
      <w:r w:rsidRPr="001901C9">
        <w:t xml:space="preserve"> termínu konání akce provádí </w:t>
      </w:r>
      <w:r w:rsidR="00CD734D">
        <w:t>Obecní úřad Jiřetín pod Jedlovou</w:t>
      </w:r>
    </w:p>
    <w:p w:rsidR="008B1798" w:rsidRPr="001655ED" w:rsidRDefault="008B1798" w:rsidP="008B1798">
      <w:pPr>
        <w:autoSpaceDE w:val="0"/>
        <w:autoSpaceDN w:val="0"/>
        <w:adjustRightInd w:val="0"/>
        <w:rPr>
          <w:b/>
          <w:bCs/>
          <w:highlight w:val="yellow"/>
        </w:rPr>
      </w:pP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5</w:t>
      </w: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Účinnost</w:t>
      </w:r>
    </w:p>
    <w:p w:rsidR="008D25F3" w:rsidRPr="001655ED" w:rsidRDefault="008D25F3" w:rsidP="008D25F3">
      <w:pPr>
        <w:autoSpaceDE w:val="0"/>
        <w:autoSpaceDN w:val="0"/>
        <w:adjustRightInd w:val="0"/>
      </w:pPr>
    </w:p>
    <w:p w:rsidR="008D25F3" w:rsidRPr="001655ED" w:rsidRDefault="008D25F3" w:rsidP="009572D7">
      <w:pPr>
        <w:pStyle w:val="Prosttext"/>
        <w:tabs>
          <w:tab w:val="left" w:pos="4172"/>
        </w:tabs>
        <w:jc w:val="both"/>
      </w:pPr>
      <w:r w:rsidRPr="001655ED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:rsidR="008D25F3" w:rsidRPr="001655ED" w:rsidRDefault="008D25F3" w:rsidP="008D25F3">
      <w:pPr>
        <w:tabs>
          <w:tab w:val="left" w:pos="3780"/>
        </w:tabs>
        <w:jc w:val="both"/>
      </w:pPr>
    </w:p>
    <w:p w:rsidR="008D25F3" w:rsidRPr="001655ED" w:rsidRDefault="008D25F3" w:rsidP="008D25F3">
      <w:pPr>
        <w:ind w:firstLine="708"/>
        <w:jc w:val="both"/>
      </w:pPr>
    </w:p>
    <w:p w:rsidR="001E0743" w:rsidRPr="001655ED" w:rsidRDefault="001E0743" w:rsidP="001E0743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1E0743" w:rsidRPr="001655ED" w:rsidTr="00EA1420">
        <w:tc>
          <w:tcPr>
            <w:tcW w:w="4889" w:type="dxa"/>
            <w:hideMark/>
          </w:tcPr>
          <w:p w:rsidR="001E0743" w:rsidRPr="001655ED" w:rsidRDefault="001E0743" w:rsidP="00EA1420">
            <w:pPr>
              <w:pStyle w:val="Zkladntext"/>
              <w:spacing w:after="0"/>
              <w:jc w:val="center"/>
            </w:pPr>
            <w:r w:rsidRPr="001655ED">
              <w:t>____________</w:t>
            </w:r>
            <w:r w:rsidR="001655ED" w:rsidRPr="001655ED">
              <w:t>__</w:t>
            </w:r>
            <w:r w:rsidRPr="001655ED">
              <w:t>_____________</w:t>
            </w:r>
          </w:p>
        </w:tc>
        <w:tc>
          <w:tcPr>
            <w:tcW w:w="4889" w:type="dxa"/>
            <w:hideMark/>
          </w:tcPr>
          <w:p w:rsidR="001E0743" w:rsidRPr="001655ED" w:rsidRDefault="001655ED" w:rsidP="00EA1420">
            <w:pPr>
              <w:pStyle w:val="Zkladntext"/>
              <w:spacing w:after="0"/>
              <w:jc w:val="center"/>
            </w:pPr>
            <w:r w:rsidRPr="001655ED">
              <w:t>___________________________</w:t>
            </w:r>
          </w:p>
        </w:tc>
      </w:tr>
      <w:tr w:rsidR="001E0743" w:rsidRPr="005264ED" w:rsidTr="00EA1420">
        <w:tc>
          <w:tcPr>
            <w:tcW w:w="4889" w:type="dxa"/>
            <w:hideMark/>
          </w:tcPr>
          <w:p w:rsidR="001E0743" w:rsidRPr="001655ED" w:rsidRDefault="001655ED" w:rsidP="00EA1420">
            <w:pPr>
              <w:pStyle w:val="Zkladntext"/>
              <w:spacing w:after="0"/>
              <w:jc w:val="center"/>
            </w:pPr>
            <w:r w:rsidRPr="001655ED">
              <w:t>Bc. Renáta Ivanová, DiS., v. r.</w:t>
            </w:r>
          </w:p>
          <w:p w:rsidR="001E0743" w:rsidRPr="001655ED" w:rsidRDefault="001E0743" w:rsidP="00EA1420">
            <w:pPr>
              <w:pStyle w:val="Zkladntext"/>
              <w:spacing w:after="0"/>
              <w:jc w:val="center"/>
            </w:pPr>
            <w:r w:rsidRPr="001655ED">
              <w:t>místostarost</w:t>
            </w:r>
            <w:r w:rsidR="001655ED" w:rsidRPr="001655ED">
              <w:t>k</w:t>
            </w:r>
            <w:r w:rsidRPr="001655ED">
              <w:t>a</w:t>
            </w:r>
          </w:p>
        </w:tc>
        <w:tc>
          <w:tcPr>
            <w:tcW w:w="4889" w:type="dxa"/>
            <w:hideMark/>
          </w:tcPr>
          <w:p w:rsidR="00832D59" w:rsidRPr="001655ED" w:rsidRDefault="001655ED" w:rsidP="00EA1420">
            <w:pPr>
              <w:pStyle w:val="Zkladntext"/>
              <w:spacing w:after="0"/>
              <w:jc w:val="center"/>
            </w:pPr>
            <w:r w:rsidRPr="001655ED">
              <w:t>Josef Zoser, v. r.</w:t>
            </w:r>
          </w:p>
          <w:p w:rsidR="001E0743" w:rsidRPr="005264ED" w:rsidRDefault="001E0743" w:rsidP="00EA1420">
            <w:pPr>
              <w:pStyle w:val="Zkladntext"/>
              <w:spacing w:after="0"/>
              <w:jc w:val="center"/>
            </w:pPr>
            <w:r w:rsidRPr="001655ED">
              <w:t>starost</w:t>
            </w:r>
            <w:r w:rsidR="00832D59" w:rsidRPr="001655ED">
              <w:t>a</w:t>
            </w:r>
          </w:p>
        </w:tc>
      </w:tr>
    </w:tbl>
    <w:p w:rsidR="002158C5" w:rsidRPr="009572D7" w:rsidRDefault="002158C5" w:rsidP="009572D7">
      <w:pPr>
        <w:pStyle w:val="Zkladntext3"/>
        <w:rPr>
          <w:sz w:val="2"/>
          <w:szCs w:val="2"/>
        </w:rPr>
      </w:pPr>
    </w:p>
    <w:sectPr w:rsidR="002158C5" w:rsidRPr="009572D7" w:rsidSect="009572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21" w:rsidRDefault="00B95321" w:rsidP="008D25F3">
      <w:r>
        <w:separator/>
      </w:r>
    </w:p>
  </w:endnote>
  <w:endnote w:type="continuationSeparator" w:id="0">
    <w:p w:rsidR="00B95321" w:rsidRDefault="00B95321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21" w:rsidRDefault="00B95321" w:rsidP="008D25F3">
      <w:r>
        <w:separator/>
      </w:r>
    </w:p>
  </w:footnote>
  <w:footnote w:type="continuationSeparator" w:id="0">
    <w:p w:rsidR="00B95321" w:rsidRDefault="00B95321" w:rsidP="008D25F3">
      <w:r>
        <w:continuationSeparator/>
      </w:r>
    </w:p>
  </w:footnote>
  <w:footnote w:id="1">
    <w:p w:rsidR="008D25F3" w:rsidRPr="00944DB4" w:rsidRDefault="008D25F3" w:rsidP="008D25F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:rsidR="008D25F3" w:rsidRPr="00EA2F9F" w:rsidRDefault="008D25F3" w:rsidP="008D25F3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 w:rsidR="001E0743"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77324D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 w:rsidR="001E0743">
        <w:rPr>
          <w:i/>
        </w:rPr>
        <w:t> </w:t>
      </w:r>
      <w:r w:rsidRPr="003137E2">
        <w:rPr>
          <w:i/>
        </w:rPr>
        <w:t>šesté hodiny.)</w:t>
      </w:r>
    </w:p>
  </w:footnote>
  <w:footnote w:id="3">
    <w:p w:rsidR="008B1798" w:rsidRDefault="008B1798" w:rsidP="00B12D2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8B1798">
        <w:rPr>
          <w:vertAlign w:val="superscript"/>
        </w:rPr>
        <w:t>)</w:t>
      </w:r>
      <w:r>
        <w:t xml:space="preserve"> zpravidla víkend před nebo po popeleční středě, přičemž tento datum připadá na 46. den před Velikonoční nedělí</w:t>
      </w:r>
    </w:p>
  </w:footnote>
  <w:footnote w:id="4">
    <w:p w:rsidR="008B1798" w:rsidRPr="00350501" w:rsidRDefault="008B1798" w:rsidP="008B1798">
      <w:pPr>
        <w:pStyle w:val="Textpoznpodarou"/>
        <w:ind w:left="198" w:hanging="198"/>
        <w:jc w:val="both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</w:t>
      </w:r>
      <w:r>
        <w:t>za účelem naplnění zásady předvídatelnosti nocí, kdy dojde ke konkrétnímu naplnění vymezení doby nočního klidu kratší dobou</w:t>
      </w:r>
    </w:p>
  </w:footnote>
  <w:footnote w:id="5">
    <w:p w:rsidR="008B1798" w:rsidRPr="00EE2EB6" w:rsidRDefault="008B1798" w:rsidP="008B1798">
      <w:pPr>
        <w:pStyle w:val="Textpoznpodarou"/>
        <w:ind w:left="170" w:hanging="170"/>
        <w:jc w:val="both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</w:t>
      </w:r>
      <w:r w:rsidR="00B12D21">
        <w:t>Obecní</w:t>
      </w:r>
      <w:r w:rsidRPr="00350501">
        <w:t xml:space="preserve"> úřad </w:t>
      </w:r>
      <w:r w:rsidR="00B12D21">
        <w:t>Jiřetín pod Jedlovou</w:t>
      </w:r>
      <w:r w:rsidRPr="00350501">
        <w:t xml:space="preserve"> před vyvěšením na úřední desce pouze ověří, zda je</w:t>
      </w:r>
      <w:r w:rsidRPr="00EE2EB6">
        <w:t xml:space="preserve"> možné splnit dobu minimálního vyvěšení, a splnění podmínky přístupnosti a předmětu konané akce a možnosti </w:t>
      </w:r>
      <w:r>
        <w:t xml:space="preserve">jejího </w:t>
      </w:r>
      <w:r w:rsidRPr="00EE2EB6">
        <w:t>konání</w:t>
      </w:r>
      <w:r>
        <w:t xml:space="preserve"> </w:t>
      </w:r>
      <w:r w:rsidRPr="00EE2EB6">
        <w:t>(např. ověřením existence souhlasu vlastníka</w:t>
      </w:r>
      <w:r>
        <w:t xml:space="preserve"> </w:t>
      </w:r>
      <w:r w:rsidRPr="00EE2EB6">
        <w:t>prostoru konání apod.)</w:t>
      </w:r>
      <w:r>
        <w:t xml:space="preserve"> a nepřekročení počtu stanovených nocí v daném období</w:t>
      </w:r>
      <w:r w:rsidRPr="00EE2EB6">
        <w:t>; pokud není splněna jedna z podmínek, vyvěšení se neprovede</w:t>
      </w:r>
      <w:r>
        <w:t xml:space="preserve"> (aby nedošlo k uvádění adresátů této vyhlášky v omyl)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3CA9"/>
    <w:multiLevelType w:val="hybridMultilevel"/>
    <w:tmpl w:val="14A68A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863"/>
    <w:multiLevelType w:val="hybridMultilevel"/>
    <w:tmpl w:val="66A8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B124CA"/>
    <w:multiLevelType w:val="hybridMultilevel"/>
    <w:tmpl w:val="97FE93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C05C86"/>
    <w:multiLevelType w:val="hybridMultilevel"/>
    <w:tmpl w:val="8D30E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F3"/>
    <w:rsid w:val="000A03FB"/>
    <w:rsid w:val="00146F4C"/>
    <w:rsid w:val="001655ED"/>
    <w:rsid w:val="001E0743"/>
    <w:rsid w:val="002158C5"/>
    <w:rsid w:val="004D6E3E"/>
    <w:rsid w:val="004F371F"/>
    <w:rsid w:val="00610409"/>
    <w:rsid w:val="0071694A"/>
    <w:rsid w:val="0077324D"/>
    <w:rsid w:val="00783D8B"/>
    <w:rsid w:val="007D2F26"/>
    <w:rsid w:val="00832D59"/>
    <w:rsid w:val="00834F15"/>
    <w:rsid w:val="008B1798"/>
    <w:rsid w:val="008D25F3"/>
    <w:rsid w:val="009572D7"/>
    <w:rsid w:val="00B12D21"/>
    <w:rsid w:val="00B95321"/>
    <w:rsid w:val="00C7739F"/>
    <w:rsid w:val="00CC3DE1"/>
    <w:rsid w:val="00CD734D"/>
    <w:rsid w:val="00E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D25F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D25F3"/>
    <w:rPr>
      <w:vertAlign w:val="superscript"/>
    </w:rPr>
  </w:style>
  <w:style w:type="paragraph" w:styleId="Prosttext">
    <w:name w:val="Plain Text"/>
    <w:basedOn w:val="Normln"/>
    <w:link w:val="ProsttextChar"/>
    <w:rsid w:val="008D25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1E07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9B2F-A3AE-4222-B2C3-77D8DF82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Jiřina Kapráliková</cp:lastModifiedBy>
  <cp:revision>2</cp:revision>
  <dcterms:created xsi:type="dcterms:W3CDTF">2022-12-21T06:26:00Z</dcterms:created>
  <dcterms:modified xsi:type="dcterms:W3CDTF">2022-12-21T06:26:00Z</dcterms:modified>
</cp:coreProperties>
</file>