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98A" w:rsidRDefault="007938BB">
      <w:pPr>
        <w:pStyle w:val="Nzev"/>
        <w:spacing w:before="0" w:beforeAutospacing="0" w:after="0" w:afterAutospacing="0"/>
        <w:jc w:val="center"/>
      </w:pPr>
      <w:bookmarkStart w:id="0" w:name="_GoBack"/>
      <w:bookmarkEnd w:id="0"/>
      <w:r>
        <w:rPr>
          <w:rStyle w:val="Siln"/>
          <w:rFonts w:ascii="Arial" w:hAnsi="Arial" w:cs="Arial"/>
        </w:rPr>
        <w:t xml:space="preserve"> </w:t>
      </w:r>
      <w:r>
        <w:rPr>
          <w:rStyle w:val="Siln"/>
          <w:sz w:val="36"/>
          <w:szCs w:val="36"/>
        </w:rPr>
        <w:t>Vyhláška statutárního města Plzně č. 3/2005</w:t>
      </w:r>
    </w:p>
    <w:p w:rsidR="0075798A" w:rsidRDefault="007938BB">
      <w:pPr>
        <w:pStyle w:val="Nzev"/>
        <w:spacing w:before="0" w:beforeAutospacing="0" w:after="0" w:afterAutospacing="0"/>
        <w:jc w:val="center"/>
      </w:pPr>
      <w:r>
        <w:rPr>
          <w:rStyle w:val="Siln"/>
          <w:sz w:val="36"/>
          <w:szCs w:val="36"/>
        </w:rPr>
        <w:t>o ochraně městské zeleně</w:t>
      </w:r>
    </w:p>
    <w:p w:rsidR="0075798A" w:rsidRDefault="007938BB">
      <w:pPr>
        <w:jc w:val="center"/>
        <w:rPr>
          <w:rStyle w:val="Siln"/>
          <w:rFonts w:ascii="Arial" w:hAnsi="Arial"/>
          <w:szCs w:val="20"/>
        </w:rPr>
      </w:pPr>
      <w:r>
        <w:rPr>
          <w:rStyle w:val="Siln"/>
          <w:rFonts w:ascii="Arial" w:hAnsi="Arial"/>
          <w:szCs w:val="20"/>
        </w:rPr>
        <w:t> </w:t>
      </w:r>
    </w:p>
    <w:p w:rsidR="0075798A" w:rsidRDefault="007938BB">
      <w:pPr>
        <w:jc w:val="center"/>
      </w:pPr>
      <w:r>
        <w:rPr>
          <w:szCs w:val="20"/>
        </w:rPr>
        <w:t>Zastupitelstvo města Plzně svým usnesením č. 80/</w:t>
      </w:r>
      <w:proofErr w:type="gramStart"/>
      <w:r>
        <w:rPr>
          <w:szCs w:val="20"/>
        </w:rPr>
        <w:t>2005  ze</w:t>
      </w:r>
      <w:proofErr w:type="gramEnd"/>
      <w:r>
        <w:rPr>
          <w:szCs w:val="20"/>
        </w:rPr>
        <w:t xml:space="preserve"> dne  3. února 2005 vydalo podle čl. 104 odst. 3 ústavního zákona č.1/1993 Sb., Ústavy České republiky, a v souladu s § 10 písm. </w:t>
      </w:r>
      <w:r>
        <w:rPr>
          <w:i/>
          <w:color w:val="FF0000"/>
          <w:szCs w:val="20"/>
        </w:rPr>
        <w:t xml:space="preserve"> </w:t>
      </w:r>
      <w:r>
        <w:rPr>
          <w:szCs w:val="20"/>
        </w:rPr>
        <w:t xml:space="preserve">c) zákona č. 128/2000 Sb., o obcích, tuto </w:t>
      </w:r>
    </w:p>
    <w:p w:rsidR="0075798A" w:rsidRDefault="007938BB">
      <w:pPr>
        <w:jc w:val="center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jc w:val="center"/>
        <w:rPr>
          <w:b/>
          <w:szCs w:val="20"/>
        </w:rPr>
      </w:pPr>
      <w:r>
        <w:rPr>
          <w:b/>
          <w:szCs w:val="20"/>
        </w:rPr>
        <w:t>obecně závaznou vyhlášku:</w:t>
      </w:r>
    </w:p>
    <w:p w:rsidR="0075798A" w:rsidRDefault="007938BB">
      <w:pPr>
        <w:jc w:val="center"/>
        <w:rPr>
          <w:b/>
          <w:szCs w:val="20"/>
        </w:rPr>
      </w:pPr>
      <w:r>
        <w:rPr>
          <w:b/>
          <w:szCs w:val="20"/>
        </w:rPr>
        <w:t> </w:t>
      </w:r>
    </w:p>
    <w:p w:rsidR="0075798A" w:rsidRDefault="007938BB">
      <w:pPr>
        <w:pStyle w:val="Nadpis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Čl. 1</w:t>
      </w:r>
    </w:p>
    <w:p w:rsidR="0075798A" w:rsidRDefault="007938BB">
      <w:pPr>
        <w:jc w:val="center"/>
        <w:rPr>
          <w:b/>
          <w:szCs w:val="20"/>
        </w:rPr>
      </w:pPr>
      <w:r>
        <w:rPr>
          <w:b/>
          <w:szCs w:val="20"/>
        </w:rPr>
        <w:t> </w:t>
      </w:r>
    </w:p>
    <w:p w:rsidR="0075798A" w:rsidRDefault="007938BB">
      <w:pPr>
        <w:ind w:left="60" w:firstLine="648"/>
        <w:jc w:val="both"/>
        <w:rPr>
          <w:i/>
          <w:szCs w:val="20"/>
        </w:rPr>
      </w:pPr>
      <w:r>
        <w:rPr>
          <w:szCs w:val="20"/>
        </w:rPr>
        <w:t>Tato vyhláška se vztahuje na pozemky evidované v katastru nemovitostí jako zeleň</w:t>
      </w:r>
      <w:r>
        <w:rPr>
          <w:rStyle w:val="Znakapoznpodarou"/>
          <w:szCs w:val="20"/>
        </w:rPr>
        <w:footnoteReference w:customMarkFollows="1" w:id="1"/>
        <w:t>1</w:t>
      </w:r>
      <w:r>
        <w:rPr>
          <w:szCs w:val="20"/>
          <w:vertAlign w:val="superscript"/>
        </w:rPr>
        <w:t>)</w:t>
      </w:r>
      <w:r>
        <w:rPr>
          <w:szCs w:val="20"/>
        </w:rPr>
        <w:t>, pokud jsou tyto pozemky ve vlastnictví města Plzně</w:t>
      </w:r>
      <w:r>
        <w:rPr>
          <w:i/>
          <w:color w:val="FF0000"/>
          <w:szCs w:val="20"/>
        </w:rPr>
        <w:t xml:space="preserve"> </w:t>
      </w:r>
      <w:r>
        <w:rPr>
          <w:szCs w:val="20"/>
        </w:rPr>
        <w:t>(dále jen „městská zeleň“)</w:t>
      </w:r>
      <w:r>
        <w:rPr>
          <w:i/>
          <w:szCs w:val="20"/>
        </w:rPr>
        <w:t>.</w:t>
      </w:r>
    </w:p>
    <w:p w:rsidR="0075798A" w:rsidRDefault="007938BB">
      <w:pPr>
        <w:ind w:left="60"/>
        <w:jc w:val="both"/>
        <w:rPr>
          <w:i/>
        </w:rPr>
      </w:pPr>
      <w:r>
        <w:rPr>
          <w:i/>
        </w:rPr>
        <w:t> </w:t>
      </w:r>
    </w:p>
    <w:p w:rsidR="0075798A" w:rsidRDefault="0075798A">
      <w:pPr>
        <w:ind w:left="60" w:firstLine="648"/>
        <w:jc w:val="both"/>
        <w:rPr>
          <w:rFonts w:ascii="Arial" w:hAnsi="Arial"/>
          <w:i/>
          <w:color w:val="FF0000"/>
        </w:rPr>
      </w:pPr>
    </w:p>
    <w:p w:rsidR="0075798A" w:rsidRDefault="0075798A">
      <w:pPr>
        <w:ind w:left="60"/>
        <w:jc w:val="both"/>
        <w:rPr>
          <w:i/>
          <w:color w:val="FF0000"/>
          <w:szCs w:val="20"/>
        </w:rPr>
      </w:pP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pStyle w:val="Nadpis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Čl. 2</w:t>
      </w:r>
    </w:p>
    <w:p w:rsidR="0075798A" w:rsidRDefault="007938BB">
      <w:pPr>
        <w:jc w:val="center"/>
        <w:rPr>
          <w:b/>
          <w:szCs w:val="20"/>
        </w:rPr>
      </w:pPr>
      <w:r>
        <w:rPr>
          <w:b/>
          <w:szCs w:val="20"/>
        </w:rPr>
        <w:t> </w:t>
      </w:r>
    </w:p>
    <w:p w:rsidR="0075798A" w:rsidRDefault="007938BB">
      <w:pPr>
        <w:ind w:firstLine="360"/>
        <w:jc w:val="both"/>
        <w:rPr>
          <w:szCs w:val="20"/>
        </w:rPr>
      </w:pPr>
      <w:r>
        <w:rPr>
          <w:szCs w:val="20"/>
        </w:rPr>
        <w:t>V městské zeleni je zakázáno: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tabs>
          <w:tab w:val="num" w:pos="360"/>
        </w:tabs>
        <w:ind w:left="360" w:hanging="360"/>
        <w:jc w:val="both"/>
        <w:rPr>
          <w:szCs w:val="20"/>
        </w:rPr>
      </w:pPr>
      <w:r>
        <w:rPr>
          <w:szCs w:val="20"/>
        </w:rPr>
        <w:t>a)</w:t>
      </w:r>
      <w:r>
        <w:rPr>
          <w:sz w:val="14"/>
          <w:szCs w:val="14"/>
        </w:rPr>
        <w:t xml:space="preserve">      </w:t>
      </w:r>
      <w:r>
        <w:rPr>
          <w:szCs w:val="20"/>
        </w:rPr>
        <w:t>používat motorová vozidla</w:t>
      </w:r>
      <w:r>
        <w:rPr>
          <w:rStyle w:val="Znakapoznpodarou"/>
          <w:szCs w:val="20"/>
        </w:rPr>
        <w:footnoteReference w:customMarkFollows="1" w:id="2"/>
        <w:t>2</w:t>
      </w:r>
      <w:r>
        <w:rPr>
          <w:szCs w:val="20"/>
          <w:vertAlign w:val="superscript"/>
        </w:rPr>
        <w:t>)</w:t>
      </w:r>
      <w:r>
        <w:rPr>
          <w:i/>
          <w:szCs w:val="20"/>
        </w:rPr>
        <w:t>,</w:t>
      </w:r>
      <w:r>
        <w:rPr>
          <w:i/>
          <w:color w:val="FF0000"/>
          <w:szCs w:val="20"/>
        </w:rPr>
        <w:t xml:space="preserve"> </w:t>
      </w:r>
      <w:r>
        <w:rPr>
          <w:szCs w:val="20"/>
        </w:rPr>
        <w:t>zejména pak vjíždět s těmito vozidly na městskou zeleň a stát na ní, tento zákaz se vztahuje i na přípojná vozidla</w:t>
      </w:r>
      <w:r>
        <w:rPr>
          <w:rStyle w:val="Znakapoznpodarou"/>
          <w:szCs w:val="20"/>
        </w:rPr>
        <w:footnoteReference w:customMarkFollows="1" w:id="3"/>
        <w:t>3</w:t>
      </w:r>
      <w:r>
        <w:rPr>
          <w:szCs w:val="20"/>
          <w:vertAlign w:val="superscript"/>
        </w:rPr>
        <w:t>)</w:t>
      </w:r>
      <w:r>
        <w:rPr>
          <w:szCs w:val="20"/>
        </w:rPr>
        <w:t>.</w:t>
      </w:r>
    </w:p>
    <w:p w:rsidR="0075798A" w:rsidRDefault="007938BB">
      <w:pPr>
        <w:tabs>
          <w:tab w:val="num" w:pos="360"/>
        </w:tabs>
        <w:ind w:left="360" w:hanging="360"/>
        <w:jc w:val="both"/>
        <w:rPr>
          <w:szCs w:val="20"/>
        </w:rPr>
      </w:pPr>
      <w:r>
        <w:rPr>
          <w:szCs w:val="20"/>
        </w:rPr>
        <w:t>b)</w:t>
      </w:r>
      <w:r>
        <w:rPr>
          <w:sz w:val="14"/>
          <w:szCs w:val="14"/>
        </w:rPr>
        <w:t xml:space="preserve">      </w:t>
      </w:r>
      <w:r>
        <w:rPr>
          <w:szCs w:val="20"/>
        </w:rPr>
        <w:t>vstupovat na plochy květinových záhonů a trhat nebo jinak poškozovat na nich rostoucí květiny nebo jiné rostliny.</w:t>
      </w:r>
    </w:p>
    <w:p w:rsidR="0075798A" w:rsidRDefault="007938BB">
      <w:pPr>
        <w:divId w:val="1663046033"/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textWrapping" w:clear="all"/>
      </w:r>
    </w:p>
    <w:p w:rsidR="0075798A" w:rsidRDefault="007938BB">
      <w:pPr>
        <w:pStyle w:val="Nadpis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Čl. 3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tabs>
          <w:tab w:val="num" w:pos="360"/>
        </w:tabs>
        <w:ind w:left="360" w:hanging="360"/>
        <w:jc w:val="both"/>
        <w:rPr>
          <w:szCs w:val="20"/>
        </w:rPr>
      </w:pPr>
      <w:r>
        <w:rPr>
          <w:szCs w:val="20"/>
        </w:rPr>
        <w:t>(1)</w:t>
      </w:r>
      <w:r>
        <w:rPr>
          <w:sz w:val="14"/>
          <w:szCs w:val="14"/>
        </w:rPr>
        <w:t xml:space="preserve">   </w:t>
      </w:r>
      <w:r>
        <w:rPr>
          <w:szCs w:val="20"/>
        </w:rPr>
        <w:t xml:space="preserve">Ustanovení čl. 2 písm. a) této vyhlášky se nevztahuje </w:t>
      </w:r>
      <w:proofErr w:type="gramStart"/>
      <w:r>
        <w:rPr>
          <w:szCs w:val="20"/>
        </w:rPr>
        <w:t>na  osoby</w:t>
      </w:r>
      <w:proofErr w:type="gramEnd"/>
      <w:r>
        <w:rPr>
          <w:szCs w:val="20"/>
        </w:rPr>
        <w:t xml:space="preserve"> používající vozidla při plnění úkolů souvisejících s výkonem zvláštní povinnosti</w:t>
      </w:r>
      <w:r>
        <w:rPr>
          <w:rStyle w:val="Znakapoznpodarou"/>
          <w:szCs w:val="20"/>
        </w:rPr>
        <w:footnoteReference w:customMarkFollows="1" w:id="4"/>
        <w:t>4</w:t>
      </w:r>
      <w:r>
        <w:rPr>
          <w:szCs w:val="20"/>
          <w:vertAlign w:val="superscript"/>
        </w:rPr>
        <w:t>)</w:t>
      </w:r>
      <w:r>
        <w:rPr>
          <w:szCs w:val="20"/>
        </w:rPr>
        <w:t>. Ustanovení této vyhlášky se dále nevztahují na osoby používající vozidla určená k přepravě osob těžce postižených nebo těžce zdravotně postižených</w:t>
      </w:r>
      <w:r>
        <w:rPr>
          <w:rStyle w:val="Znakapoznpodarou"/>
          <w:szCs w:val="20"/>
        </w:rPr>
        <w:footnoteReference w:customMarkFollows="1" w:id="5"/>
        <w:t>5</w:t>
      </w:r>
      <w:r>
        <w:rPr>
          <w:szCs w:val="20"/>
          <w:vertAlign w:val="superscript"/>
        </w:rPr>
        <w:t>)</w:t>
      </w:r>
      <w:r>
        <w:rPr>
          <w:szCs w:val="20"/>
        </w:rPr>
        <w:t xml:space="preserve"> a na osoby pověřené vlastníkem pozemků údržbou městské zeleně.</w:t>
      </w:r>
    </w:p>
    <w:p w:rsidR="0075798A" w:rsidRDefault="007938BB">
      <w:pPr>
        <w:jc w:val="both"/>
        <w:rPr>
          <w:i/>
          <w:color w:val="FF0000"/>
          <w:szCs w:val="20"/>
        </w:rPr>
      </w:pPr>
      <w:r>
        <w:rPr>
          <w:i/>
          <w:color w:val="FF0000"/>
          <w:szCs w:val="20"/>
        </w:rPr>
        <w:t> </w:t>
      </w:r>
    </w:p>
    <w:p w:rsidR="0075798A" w:rsidRDefault="007938BB">
      <w:pPr>
        <w:tabs>
          <w:tab w:val="num" w:pos="360"/>
        </w:tabs>
        <w:ind w:left="360" w:hanging="360"/>
        <w:jc w:val="both"/>
        <w:rPr>
          <w:szCs w:val="20"/>
        </w:rPr>
      </w:pPr>
      <w:r>
        <w:rPr>
          <w:szCs w:val="20"/>
        </w:rPr>
        <w:lastRenderedPageBreak/>
        <w:t>(2)</w:t>
      </w:r>
      <w:r>
        <w:rPr>
          <w:sz w:val="14"/>
          <w:szCs w:val="14"/>
        </w:rPr>
        <w:t xml:space="preserve">   </w:t>
      </w:r>
      <w:r>
        <w:rPr>
          <w:szCs w:val="20"/>
        </w:rPr>
        <w:t>Porušení povinností touto vyhláškou uložených se postihuje podle zvláštních předpisů</w:t>
      </w:r>
      <w:r>
        <w:rPr>
          <w:rStyle w:val="Znakapoznpodarou"/>
          <w:szCs w:val="20"/>
        </w:rPr>
        <w:footnoteReference w:customMarkFollows="1" w:id="6"/>
        <w:t>6</w:t>
      </w:r>
      <w:r>
        <w:rPr>
          <w:szCs w:val="20"/>
          <w:vertAlign w:val="superscript"/>
        </w:rPr>
        <w:t>)</w:t>
      </w:r>
      <w:r>
        <w:rPr>
          <w:szCs w:val="20"/>
        </w:rPr>
        <w:t>. Právo na náhradu škody podle zvláštních předpisů tím není dotčeno.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tabs>
          <w:tab w:val="num" w:pos="360"/>
        </w:tabs>
        <w:ind w:left="360" w:hanging="360"/>
        <w:jc w:val="both"/>
      </w:pPr>
      <w:r>
        <w:rPr>
          <w:rFonts w:eastAsia="Times New Roman"/>
          <w:szCs w:val="20"/>
        </w:rPr>
        <w:t>(3)  Tato vyhláška nabývá účinnosti dne 1.března 2005.</w:t>
      </w:r>
      <w:r>
        <w:t xml:space="preserve"> </w:t>
      </w:r>
    </w:p>
    <w:p w:rsidR="0075798A" w:rsidRDefault="007938BB">
      <w:pPr>
        <w:divId w:val="2901373"/>
        <w:rPr>
          <w:rFonts w:eastAsia="Times New Roman"/>
          <w:szCs w:val="20"/>
        </w:rPr>
      </w:pPr>
      <w:r>
        <w:rPr>
          <w:rFonts w:ascii="Arial" w:eastAsia="Times New Roman" w:hAnsi="Arial"/>
          <w:szCs w:val="20"/>
        </w:rPr>
        <w:br w:type="textWrapping" w:clear="all"/>
      </w:r>
      <w:r>
        <w:rPr>
          <w:rFonts w:eastAsia="Times New Roman"/>
          <w:szCs w:val="20"/>
        </w:rPr>
        <w:t> 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 xml:space="preserve">     Ing. Miroslav Kalous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JUDr. Marcela Krejsová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 xml:space="preserve">        primátor města                                                                    náměstkyně primátora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>
      <w:pPr>
        <w:jc w:val="both"/>
        <w:rPr>
          <w:szCs w:val="20"/>
        </w:rPr>
      </w:pPr>
      <w:r>
        <w:rPr>
          <w:szCs w:val="20"/>
        </w:rPr>
        <w:t> </w:t>
      </w:r>
    </w:p>
    <w:p w:rsidR="0075798A" w:rsidRDefault="007938BB" w:rsidP="00750B3D">
      <w:pPr>
        <w:jc w:val="both"/>
        <w:rPr>
          <w:rFonts w:eastAsia="Times New Roman"/>
        </w:rPr>
      </w:pPr>
      <w:r>
        <w:rPr>
          <w:szCs w:val="20"/>
        </w:rPr>
        <w:t> </w:t>
      </w:r>
    </w:p>
    <w:p w:rsidR="0075798A" w:rsidRDefault="00737965">
      <w:pPr>
        <w:divId w:val="1002973103"/>
        <w:rPr>
          <w:rFonts w:eastAsia="Times New Roman"/>
        </w:rPr>
      </w:pPr>
      <w:r>
        <w:rPr>
          <w:rFonts w:eastAsia="Times New Roman"/>
        </w:rPr>
        <w:pict>
          <v:rect id="_x0000_i1025" style="width:149.7pt;height:.75pt" o:hrpct="330" o:hrstd="t" o:hr="t" fillcolor="#a0a0a0" stroked="f"/>
        </w:pict>
      </w:r>
    </w:p>
    <w:p w:rsidR="0075798A" w:rsidRDefault="007938BB">
      <w:pPr>
        <w:pStyle w:val="Textpoznpodarou"/>
        <w:spacing w:before="0" w:beforeAutospacing="0" w:after="0" w:afterAutospacing="0"/>
        <w:jc w:val="both"/>
        <w:divId w:val="1467776784"/>
      </w:pPr>
      <w:r>
        <w:rPr>
          <w:rStyle w:val="Znakapoznpodarou"/>
        </w:rPr>
        <w:footnoteReference w:customMarkFollows="1" w:id="7"/>
        <w:t>4</w:t>
      </w:r>
      <w:r>
        <w:rPr>
          <w:vertAlign w:val="superscript"/>
        </w:rPr>
        <w:t>)</w:t>
      </w:r>
      <w:r>
        <w:t xml:space="preserve"> § 41 odst. 1 a 2 zákona č. 361/2000 Sb., o provozu na pozemních komunikacích a o změnách některých zákonů, v platném znění.</w:t>
      </w:r>
    </w:p>
    <w:p w:rsidR="0075798A" w:rsidRDefault="007938BB">
      <w:pPr>
        <w:pStyle w:val="Textpoznpodarou"/>
        <w:spacing w:before="0" w:beforeAutospacing="0" w:after="0" w:afterAutospacing="0"/>
        <w:divId w:val="1467776784"/>
      </w:pPr>
      <w:r>
        <w:t> </w:t>
      </w:r>
    </w:p>
    <w:p w:rsidR="0075798A" w:rsidRDefault="007938BB">
      <w:pPr>
        <w:pStyle w:val="Textpoznpodarou"/>
        <w:spacing w:before="0" w:beforeAutospacing="0" w:after="0" w:afterAutospacing="0"/>
        <w:jc w:val="both"/>
        <w:divId w:val="860322489"/>
      </w:pPr>
      <w:r>
        <w:rPr>
          <w:rStyle w:val="Znakapoznpodarou"/>
        </w:rPr>
        <w:footnoteReference w:customMarkFollows="1" w:id="8"/>
        <w:t>5</w:t>
      </w:r>
      <w:r>
        <w:rPr>
          <w:vertAlign w:val="superscript"/>
        </w:rPr>
        <w:t>)</w:t>
      </w:r>
      <w:r>
        <w:t xml:space="preserve"> § 67 odst. 1 zákona č. 361/2000 Sb., o provozu na pozemních komunikacích a o změnách některých zákonů, v platném znění.</w:t>
      </w:r>
    </w:p>
    <w:p w:rsidR="0075798A" w:rsidRDefault="007938BB">
      <w:pPr>
        <w:pStyle w:val="Textpoznpodarou"/>
        <w:spacing w:before="0" w:beforeAutospacing="0" w:after="0" w:afterAutospacing="0"/>
        <w:jc w:val="both"/>
        <w:divId w:val="860322489"/>
      </w:pPr>
      <w:r>
        <w:t> </w:t>
      </w:r>
    </w:p>
    <w:p w:rsidR="0075798A" w:rsidRDefault="007938BB">
      <w:pPr>
        <w:pStyle w:val="Textpoznpodarou"/>
        <w:spacing w:before="0" w:beforeAutospacing="0" w:after="0" w:afterAutospacing="0"/>
        <w:jc w:val="both"/>
        <w:divId w:val="1257401753"/>
      </w:pPr>
      <w:r>
        <w:rPr>
          <w:rStyle w:val="Znakapoznpodarou"/>
        </w:rPr>
        <w:footnoteReference w:customMarkFollows="1" w:id="9"/>
        <w:t>6</w:t>
      </w:r>
      <w:r>
        <w:rPr>
          <w:vertAlign w:val="superscript"/>
        </w:rPr>
        <w:t>)</w:t>
      </w:r>
      <w:r>
        <w:t xml:space="preserve"> Zejména zákon č. 128/2000 Sb., o obcích, v platném znění, a zákon č. 200/1990 Sb., o přestupcích, v platném znění.</w:t>
      </w:r>
    </w:p>
    <w:sectPr w:rsidR="0075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98A" w:rsidRDefault="007938BB">
      <w:r>
        <w:separator/>
      </w:r>
    </w:p>
  </w:endnote>
  <w:endnote w:type="continuationSeparator" w:id="0">
    <w:p w:rsidR="0075798A" w:rsidRDefault="0079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98A" w:rsidRDefault="007938BB">
      <w:r>
        <w:separator/>
      </w:r>
    </w:p>
  </w:footnote>
  <w:footnote w:type="continuationSeparator" w:id="0">
    <w:p w:rsidR="0075798A" w:rsidRDefault="007938BB">
      <w:r>
        <w:continuationSeparator/>
      </w:r>
    </w:p>
  </w:footnote>
  <w:footnote w:id="1">
    <w:p w:rsidR="0075798A" w:rsidRDefault="0075798A"/>
  </w:footnote>
  <w:footnote w:id="2">
    <w:p w:rsidR="0075798A" w:rsidRDefault="0075798A"/>
  </w:footnote>
  <w:footnote w:id="3">
    <w:p w:rsidR="0075798A" w:rsidRDefault="0075798A">
      <w:pPr>
        <w:pStyle w:val="Textpoznpodarou"/>
        <w:spacing w:before="0" w:beforeAutospacing="0" w:after="0" w:afterAutospacing="0"/>
        <w:jc w:val="both"/>
        <w:rPr>
          <w:szCs w:val="20"/>
        </w:rPr>
      </w:pPr>
    </w:p>
  </w:footnote>
  <w:footnote w:id="4">
    <w:p w:rsidR="0075798A" w:rsidRDefault="007938BB">
      <w:pPr>
        <w:pStyle w:val="Textpoznpodarou"/>
        <w:spacing w:before="0" w:beforeAutospacing="0" w:after="0" w:afterAutospacing="0"/>
        <w:jc w:val="both"/>
      </w:pPr>
      <w:r>
        <w:rPr>
          <w:rStyle w:val="Znakapoznpodarou"/>
        </w:rPr>
        <w:t>1</w:t>
      </w:r>
      <w:r>
        <w:rPr>
          <w:vertAlign w:val="superscript"/>
        </w:rPr>
        <w:t>)</w:t>
      </w:r>
      <w:r>
        <w:t xml:space="preserve"> Kód 19 bodu 2 přílohy k vyhlášce č. 190/1996 Sb., kterou se provádí zákon č. 265/1992 Sb., o zápisech vlastnických a jiných věcných práv </w:t>
      </w:r>
      <w:proofErr w:type="gramStart"/>
      <w:r>
        <w:t>k  nemovitostem</w:t>
      </w:r>
      <w:proofErr w:type="gramEnd"/>
      <w:r>
        <w:t>, v platném znění, a zákon č. 344/1992 Sb., o katastru nemovitostí  České republiky (katastrální zákon), v platném znění. Za zeleň se též považuje zeleň v zástavbě a ostatní veřejná zeleň podle vyhlášky č. 190/1996 Sb., ve znění vyhlášky č. 179/1998 Sb.</w:t>
      </w:r>
    </w:p>
    <w:p w:rsidR="0075798A" w:rsidRDefault="007938BB">
      <w:pPr>
        <w:pStyle w:val="Textpoznpodarou"/>
        <w:spacing w:before="0" w:beforeAutospacing="0" w:after="0" w:afterAutospacing="0"/>
      </w:pPr>
      <w:r>
        <w:t> </w:t>
      </w:r>
    </w:p>
  </w:footnote>
  <w:footnote w:id="5">
    <w:p w:rsidR="0075798A" w:rsidRDefault="007938BB">
      <w:pPr>
        <w:pStyle w:val="Textpoznpodarou"/>
        <w:spacing w:before="0" w:beforeAutospacing="0" w:after="0" w:afterAutospacing="0"/>
        <w:jc w:val="both"/>
      </w:pPr>
      <w:r>
        <w:rPr>
          <w:rStyle w:val="Znakapoznpodarou"/>
        </w:rPr>
        <w:t>2</w:t>
      </w:r>
      <w:r>
        <w:rPr>
          <w:vertAlign w:val="superscript"/>
        </w:rPr>
        <w:t>)</w:t>
      </w:r>
      <w:r>
        <w:t xml:space="preserve"> § 2 písm. g) zákona č. 361/2000 Sb., o provozu na pozemních komunikacích a o změnách některých zákonů, v platném znění.</w:t>
      </w:r>
    </w:p>
    <w:p w:rsidR="0075798A" w:rsidRDefault="007938BB">
      <w:pPr>
        <w:pStyle w:val="Textpoznpodarou"/>
        <w:spacing w:before="0" w:beforeAutospacing="0" w:after="0" w:afterAutospacing="0"/>
        <w:jc w:val="both"/>
      </w:pPr>
      <w:r>
        <w:t> </w:t>
      </w:r>
    </w:p>
  </w:footnote>
  <w:footnote w:id="6">
    <w:p w:rsidR="0075798A" w:rsidRDefault="007938BB">
      <w:pPr>
        <w:pStyle w:val="Textpoznpodarou"/>
        <w:spacing w:before="0" w:beforeAutospacing="0" w:after="0" w:afterAutospacing="0"/>
        <w:jc w:val="both"/>
      </w:pPr>
      <w:r>
        <w:rPr>
          <w:rStyle w:val="Znakapoznpodarou"/>
        </w:rPr>
        <w:t>3</w:t>
      </w:r>
      <w:r>
        <w:rPr>
          <w:vertAlign w:val="superscript"/>
        </w:rPr>
        <w:t>)</w:t>
      </w:r>
      <w:r>
        <w:t xml:space="preserve"> § 2 odst. 3 zákona č. 56/2001 Sb., </w:t>
      </w:r>
      <w:proofErr w:type="gramStart"/>
      <w:r>
        <w:t>o  podmínkách</w:t>
      </w:r>
      <w:proofErr w:type="gramEnd"/>
      <w:r>
        <w:t xml:space="preserve">  provozu vozidel na pozemních komunikacích.</w:t>
      </w:r>
    </w:p>
    <w:p w:rsidR="0075798A" w:rsidRDefault="007938BB">
      <w:pPr>
        <w:pStyle w:val="Textpoznpodarou"/>
        <w:spacing w:before="0" w:beforeAutospacing="0" w:after="0" w:afterAutospacing="0"/>
        <w:jc w:val="both"/>
      </w:pPr>
      <w:r>
        <w:t xml:space="preserve"> </w:t>
      </w:r>
    </w:p>
  </w:footnote>
  <w:footnote w:id="7">
    <w:p w:rsidR="0075798A" w:rsidRDefault="0075798A"/>
  </w:footnote>
  <w:footnote w:id="8">
    <w:p w:rsidR="0075798A" w:rsidRDefault="0075798A"/>
  </w:footnote>
  <w:footnote w:id="9">
    <w:p w:rsidR="0075798A" w:rsidRDefault="007579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B"/>
    <w:rsid w:val="00737965"/>
    <w:rsid w:val="00750B3D"/>
    <w:rsid w:val="0075798A"/>
    <w:rsid w:val="0079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05659EA-8555-4405-93B6-53B40E7D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nakapoznpodarou">
    <w:name w:val="footnote reference"/>
    <w:basedOn w:val="Standardnpsmoodstavce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2023-01-09T12:06:00Z</dcterms:created>
  <dcterms:modified xsi:type="dcterms:W3CDTF">2023-01-09T12:06:00Z</dcterms:modified>
</cp:coreProperties>
</file>