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484" w:rsidRDefault="00BD6875" w:rsidP="00B11484">
      <w:pPr>
        <w:pStyle w:val="Standard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>O B E C</w:t>
      </w:r>
      <w:r w:rsidR="00F7417A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V I L É M O V</w:t>
      </w:r>
    </w:p>
    <w:p w:rsidR="009273DF" w:rsidRPr="00B11484" w:rsidRDefault="00BD6875" w:rsidP="00B11484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sz w:val="40"/>
          <w:szCs w:val="40"/>
        </w:rPr>
        <w:t>ZASTUPITELSTVO OBCE VILÉMOV</w:t>
      </w:r>
    </w:p>
    <w:p w:rsidR="00B11484" w:rsidRDefault="00BD6875" w:rsidP="00B11484">
      <w:pPr>
        <w:pStyle w:val="Heading1"/>
        <w:rPr>
          <w:rFonts w:ascii="Times New Roman" w:hAnsi="Times New Roman"/>
          <w:sz w:val="28"/>
          <w:szCs w:val="26"/>
        </w:rPr>
      </w:pPr>
      <w:r w:rsidRPr="00B11484">
        <w:rPr>
          <w:rFonts w:ascii="Times New Roman" w:hAnsi="Times New Roman"/>
          <w:sz w:val="28"/>
          <w:szCs w:val="26"/>
        </w:rPr>
        <w:t xml:space="preserve">Obecně závazná vyhláška obce </w:t>
      </w:r>
      <w:r w:rsidR="00B11484" w:rsidRPr="00B11484">
        <w:rPr>
          <w:rFonts w:ascii="Times New Roman" w:hAnsi="Times New Roman"/>
          <w:sz w:val="28"/>
          <w:szCs w:val="26"/>
        </w:rPr>
        <w:t xml:space="preserve">č. </w:t>
      </w:r>
      <w:r w:rsidR="004A7478">
        <w:rPr>
          <w:rFonts w:ascii="Times New Roman" w:hAnsi="Times New Roman"/>
          <w:sz w:val="28"/>
          <w:szCs w:val="26"/>
        </w:rPr>
        <w:t>0</w:t>
      </w:r>
      <w:r w:rsidR="00F7417A">
        <w:rPr>
          <w:rFonts w:ascii="Times New Roman" w:hAnsi="Times New Roman"/>
          <w:sz w:val="28"/>
          <w:szCs w:val="26"/>
        </w:rPr>
        <w:t>5</w:t>
      </w:r>
      <w:r w:rsidR="00B11484" w:rsidRPr="00B11484">
        <w:rPr>
          <w:rFonts w:ascii="Times New Roman" w:hAnsi="Times New Roman"/>
          <w:sz w:val="28"/>
          <w:szCs w:val="26"/>
        </w:rPr>
        <w:t>/2024</w:t>
      </w:r>
    </w:p>
    <w:p w:rsidR="009273DF" w:rsidRPr="00B11484" w:rsidRDefault="00B11484" w:rsidP="00B11484">
      <w:pPr>
        <w:pStyle w:val="Heading1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color w:val="FFFFFF"/>
          <w:sz w:val="2"/>
          <w:szCs w:val="8"/>
        </w:rPr>
        <w:t>.</w:t>
      </w:r>
      <w:r w:rsidR="00BD6875" w:rsidRPr="00B11484">
        <w:rPr>
          <w:rFonts w:ascii="Times New Roman" w:hAnsi="Times New Roman"/>
          <w:sz w:val="28"/>
          <w:szCs w:val="26"/>
        </w:rPr>
        <w:br/>
        <w:t>o místním poplatku za odkládání komunálního odpadu z nemovité věci</w:t>
      </w:r>
    </w:p>
    <w:p w:rsidR="009273DF" w:rsidRPr="00B11484" w:rsidRDefault="00BD6875">
      <w:pPr>
        <w:pStyle w:val="UvodniVeta"/>
        <w:rPr>
          <w:rFonts w:ascii="Times New Roman" w:hAnsi="Times New Roman"/>
          <w:i/>
          <w:iCs/>
        </w:rPr>
      </w:pPr>
      <w:r w:rsidRPr="00B11484">
        <w:rPr>
          <w:rFonts w:ascii="Times New Roman" w:hAnsi="Times New Roman"/>
          <w:i/>
          <w:iCs/>
        </w:rPr>
        <w:t xml:space="preserve">Zastupitelstvo obce Vilémov se na svém zasedání dne 31. října 2024 usneslo </w:t>
      </w:r>
      <w:r w:rsidR="004A7478">
        <w:rPr>
          <w:rFonts w:ascii="Times New Roman" w:hAnsi="Times New Roman"/>
          <w:i/>
          <w:iCs/>
        </w:rPr>
        <w:t xml:space="preserve">usnesením č. </w:t>
      </w:r>
      <w:r w:rsidR="004A7478" w:rsidRPr="001549D2">
        <w:rPr>
          <w:rFonts w:ascii="Times New Roman" w:hAnsi="Times New Roman"/>
          <w:b/>
          <w:i/>
          <w:iCs/>
        </w:rPr>
        <w:t>04/20ZO/2024</w:t>
      </w:r>
      <w:r w:rsidR="004A7478">
        <w:rPr>
          <w:rFonts w:ascii="Times New Roman" w:hAnsi="Times New Roman"/>
          <w:b/>
          <w:i/>
          <w:iCs/>
        </w:rPr>
        <w:t xml:space="preserve"> </w:t>
      </w:r>
      <w:r w:rsidRPr="00B11484">
        <w:rPr>
          <w:rFonts w:ascii="Times New Roman" w:hAnsi="Times New Roman"/>
          <w:i/>
          <w:iCs/>
        </w:rP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9273DF" w:rsidRDefault="00BD6875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>Čl. 1</w:t>
      </w:r>
      <w:r>
        <w:rPr>
          <w:rFonts w:ascii="Times New Roman" w:hAnsi="Times New Roman"/>
        </w:rPr>
        <w:br/>
        <w:t>Úvodní ustanovení</w:t>
      </w:r>
    </w:p>
    <w:p w:rsidR="009273DF" w:rsidRDefault="00BD6875">
      <w:pPr>
        <w:pStyle w:val="Odstavec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Obec Vilémov touto vyhláškou zavádí místní poplatek za odkládání komunálního odpadu z nemovité věci (dále jen „poplatek“).</w:t>
      </w:r>
    </w:p>
    <w:p w:rsidR="009273DF" w:rsidRDefault="00BD6875">
      <w:pPr>
        <w:pStyle w:val="Odstavec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Poplatkovým obdobím poplatku je kalendářní rok</w:t>
      </w:r>
      <w:r>
        <w:rPr>
          <w:rStyle w:val="FootnoteReference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.</w:t>
      </w:r>
    </w:p>
    <w:p w:rsidR="009273DF" w:rsidRDefault="00BD6875">
      <w:pPr>
        <w:pStyle w:val="Odstavec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Správcem poplatku je obecní úřad</w:t>
      </w:r>
      <w:r>
        <w:rPr>
          <w:rStyle w:val="FootnoteReference"/>
          <w:rFonts w:ascii="Times New Roman" w:hAnsi="Times New Roman"/>
        </w:rPr>
        <w:footnoteReference w:id="2"/>
      </w:r>
      <w:r>
        <w:rPr>
          <w:rFonts w:ascii="Times New Roman" w:hAnsi="Times New Roman"/>
        </w:rPr>
        <w:t>.</w:t>
      </w:r>
    </w:p>
    <w:p w:rsidR="009273DF" w:rsidRDefault="00BD6875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>Čl. 2</w:t>
      </w:r>
      <w:r>
        <w:rPr>
          <w:rFonts w:ascii="Times New Roman" w:hAnsi="Times New Roman"/>
        </w:rPr>
        <w:br/>
        <w:t>Předmět poplatku, poplatník a plátce poplatku</w:t>
      </w:r>
    </w:p>
    <w:p w:rsidR="009273DF" w:rsidRDefault="00BD6875">
      <w:pPr>
        <w:pStyle w:val="Odstavec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FootnoteReference"/>
          <w:rFonts w:ascii="Times New Roman" w:hAnsi="Times New Roman"/>
        </w:rPr>
        <w:footnoteReference w:id="3"/>
      </w:r>
      <w:r>
        <w:rPr>
          <w:rFonts w:ascii="Times New Roman" w:hAnsi="Times New Roman"/>
        </w:rPr>
        <w:t>.</w:t>
      </w:r>
    </w:p>
    <w:p w:rsidR="009273DF" w:rsidRDefault="00BD6875">
      <w:pPr>
        <w:pStyle w:val="Odstavec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Poplatníkem poplatku je</w:t>
      </w:r>
      <w:r>
        <w:rPr>
          <w:rStyle w:val="FootnoteReference"/>
          <w:rFonts w:ascii="Times New Roman" w:hAnsi="Times New Roman"/>
        </w:rPr>
        <w:footnoteReference w:id="4"/>
      </w:r>
    </w:p>
    <w:p w:rsidR="009273DF" w:rsidRDefault="00BD6875">
      <w:pPr>
        <w:pStyle w:val="Odstavec"/>
        <w:numPr>
          <w:ilvl w:val="1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fyzická osoba, která má v nemovité věci bydliště,</w:t>
      </w:r>
    </w:p>
    <w:p w:rsidR="009273DF" w:rsidRDefault="00BD6875">
      <w:pPr>
        <w:pStyle w:val="Odstavec"/>
        <w:numPr>
          <w:ilvl w:val="1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nebo vlastník nemovité věci, ve které nemá bydliště žádná fyzická osoba.</w:t>
      </w:r>
    </w:p>
    <w:p w:rsidR="009273DF" w:rsidRDefault="00BD6875">
      <w:pPr>
        <w:pStyle w:val="Odstavec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Plátcem poplatku je</w:t>
      </w:r>
      <w:r>
        <w:rPr>
          <w:rStyle w:val="FootnoteReference"/>
          <w:rFonts w:ascii="Times New Roman" w:hAnsi="Times New Roman"/>
        </w:rPr>
        <w:footnoteReference w:id="5"/>
      </w:r>
    </w:p>
    <w:p w:rsidR="009273DF" w:rsidRDefault="00BD6875">
      <w:pPr>
        <w:pStyle w:val="Odstavec"/>
        <w:numPr>
          <w:ilvl w:val="1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společenství vlastníků jednotek, pokud pro dům vzniklo,</w:t>
      </w:r>
    </w:p>
    <w:p w:rsidR="009273DF" w:rsidRDefault="00BD6875">
      <w:pPr>
        <w:pStyle w:val="Odstavec"/>
        <w:numPr>
          <w:ilvl w:val="1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nebo vlastník nemovité věci v ostatních případech.</w:t>
      </w:r>
    </w:p>
    <w:p w:rsidR="009273DF" w:rsidRDefault="00BD6875">
      <w:pPr>
        <w:pStyle w:val="Odstavec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Plátce poplatku je povinen vybrat poplatek od poplatníka</w:t>
      </w:r>
      <w:r>
        <w:rPr>
          <w:rStyle w:val="FootnoteReference"/>
          <w:rFonts w:ascii="Times New Roman" w:hAnsi="Times New Roman"/>
        </w:rPr>
        <w:footnoteReference w:id="6"/>
      </w:r>
      <w:r>
        <w:rPr>
          <w:rFonts w:ascii="Times New Roman" w:hAnsi="Times New Roman"/>
        </w:rPr>
        <w:t>.</w:t>
      </w:r>
    </w:p>
    <w:p w:rsidR="009273DF" w:rsidRDefault="00BD6875">
      <w:pPr>
        <w:pStyle w:val="Odstavec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Spoluvlastníci nemovité věci zahrnující byt, rodinný dům nebo stavbu pro rodinnou rekreaci jsou povinni plnit poplatkovou povinnost společně a nerozdílně</w:t>
      </w:r>
      <w:r>
        <w:rPr>
          <w:rStyle w:val="FootnoteReference"/>
          <w:rFonts w:ascii="Times New Roman" w:hAnsi="Times New Roman"/>
        </w:rPr>
        <w:footnoteReference w:id="7"/>
      </w:r>
      <w:r>
        <w:rPr>
          <w:rFonts w:ascii="Times New Roman" w:hAnsi="Times New Roman"/>
        </w:rPr>
        <w:t>.</w:t>
      </w:r>
    </w:p>
    <w:p w:rsidR="009273DF" w:rsidRDefault="00BD6875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Čl. 3</w:t>
      </w:r>
      <w:r>
        <w:rPr>
          <w:rFonts w:ascii="Times New Roman" w:hAnsi="Times New Roman"/>
        </w:rPr>
        <w:br/>
        <w:t>Ohlašovací povinnost</w:t>
      </w:r>
    </w:p>
    <w:p w:rsidR="009273DF" w:rsidRDefault="00BD6875">
      <w:pPr>
        <w:pStyle w:val="Odstavec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Plátce poplatku je povinen podat správci poplatku ohlášení nejpozději do 30 dnů ode dne, kdy nabyl postavení plátce poplatku; údaje uváděné v ohlášení upravuje zákon</w:t>
      </w:r>
      <w:r>
        <w:rPr>
          <w:rStyle w:val="FootnoteReference"/>
          <w:rFonts w:ascii="Times New Roman" w:hAnsi="Times New Roman"/>
        </w:rPr>
        <w:footnoteReference w:id="8"/>
      </w:r>
      <w:r>
        <w:rPr>
          <w:rFonts w:ascii="Times New Roman" w:hAnsi="Times New Roman"/>
        </w:rPr>
        <w:t>.</w:t>
      </w:r>
    </w:p>
    <w:p w:rsidR="009273DF" w:rsidRDefault="00BD6875">
      <w:pPr>
        <w:pStyle w:val="Odstavec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Dojde-li ke změně údajů uvedených v ohlášení, je plátce povinen tuto změnu oznámit do 15 dnů ode dne, kdy nastala</w:t>
      </w:r>
      <w:r>
        <w:rPr>
          <w:rStyle w:val="FootnoteReference"/>
          <w:rFonts w:ascii="Times New Roman" w:hAnsi="Times New Roman"/>
        </w:rPr>
        <w:footnoteReference w:id="9"/>
      </w:r>
      <w:r>
        <w:rPr>
          <w:rFonts w:ascii="Times New Roman" w:hAnsi="Times New Roman"/>
        </w:rPr>
        <w:t>.</w:t>
      </w:r>
    </w:p>
    <w:p w:rsidR="009273DF" w:rsidRDefault="00BD6875">
      <w:pPr>
        <w:pStyle w:val="Odstavec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Není-li plátce poplatku, plní ohlašovací povinnost poplatník</w:t>
      </w:r>
      <w:r>
        <w:rPr>
          <w:rStyle w:val="FootnoteReference"/>
          <w:rFonts w:ascii="Times New Roman" w:hAnsi="Times New Roman"/>
        </w:rPr>
        <w:footnoteReference w:id="10"/>
      </w:r>
      <w:r>
        <w:rPr>
          <w:rFonts w:ascii="Times New Roman" w:hAnsi="Times New Roman"/>
        </w:rPr>
        <w:t>.</w:t>
      </w:r>
    </w:p>
    <w:p w:rsidR="009273DF" w:rsidRDefault="00BD6875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>Čl. 4</w:t>
      </w:r>
      <w:r>
        <w:rPr>
          <w:rFonts w:ascii="Times New Roman" w:hAnsi="Times New Roman"/>
        </w:rPr>
        <w:br/>
        <w:t>Základ poplatku</w:t>
      </w:r>
    </w:p>
    <w:p w:rsidR="009273DF" w:rsidRDefault="00BD6875">
      <w:pPr>
        <w:pStyle w:val="Odstavec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Základem dílčího poplatku je kapacita soustřeďovacích prostředků pro nemovitou věc na odpad za kalendářní měsíc v litrech připadající na poplatníka</w:t>
      </w:r>
      <w:r>
        <w:rPr>
          <w:rStyle w:val="FootnoteReference"/>
          <w:rFonts w:ascii="Times New Roman" w:hAnsi="Times New Roman"/>
        </w:rPr>
        <w:footnoteReference w:id="11"/>
      </w:r>
      <w:r>
        <w:rPr>
          <w:rFonts w:ascii="Times New Roman" w:hAnsi="Times New Roman"/>
        </w:rPr>
        <w:t>.</w:t>
      </w:r>
    </w:p>
    <w:p w:rsidR="009273DF" w:rsidRDefault="00BD6875">
      <w:pPr>
        <w:pStyle w:val="Odstavec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Objednanou kapacitou soustřeďovacích prostředků pro nemovitou věc za kalendářní měsíc připadající na poplatníka je</w:t>
      </w:r>
    </w:p>
    <w:p w:rsidR="009273DF" w:rsidRDefault="00BD6875">
      <w:pPr>
        <w:pStyle w:val="Odstavec"/>
        <w:numPr>
          <w:ilvl w:val="1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9273DF" w:rsidRDefault="00BD6875">
      <w:pPr>
        <w:pStyle w:val="Odstavec"/>
        <w:numPr>
          <w:ilvl w:val="1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nebo kapacita soustřeďovacích prostředků pro tuto nemovitou věc na kalendářní měsíc v případě, že v nemovité věci nemá bydliště žádná fyzická osoba</w:t>
      </w:r>
      <w:r>
        <w:rPr>
          <w:rStyle w:val="FootnoteReference"/>
          <w:rFonts w:ascii="Times New Roman" w:hAnsi="Times New Roman"/>
        </w:rPr>
        <w:footnoteReference w:id="12"/>
      </w:r>
      <w:r>
        <w:rPr>
          <w:rFonts w:ascii="Times New Roman" w:hAnsi="Times New Roman"/>
        </w:rPr>
        <w:t>.</w:t>
      </w:r>
    </w:p>
    <w:p w:rsidR="009273DF" w:rsidRDefault="00BD6875">
      <w:pPr>
        <w:pStyle w:val="Odstavec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Minimální základ dílčího poplatku činí 60 l.</w:t>
      </w:r>
    </w:p>
    <w:p w:rsidR="009273DF" w:rsidRDefault="00BD6875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>Čl. 5</w:t>
      </w:r>
      <w:r>
        <w:rPr>
          <w:rFonts w:ascii="Times New Roman" w:hAnsi="Times New Roman"/>
        </w:rPr>
        <w:br/>
        <w:t>Sazba poplatku</w:t>
      </w:r>
    </w:p>
    <w:p w:rsidR="009273DF" w:rsidRDefault="00BD6875">
      <w:pPr>
        <w:pStyle w:val="Odstavec"/>
        <w:rPr>
          <w:rFonts w:ascii="Times New Roman" w:hAnsi="Times New Roman"/>
        </w:rPr>
      </w:pPr>
      <w:r>
        <w:rPr>
          <w:rFonts w:ascii="Times New Roman" w:hAnsi="Times New Roman"/>
        </w:rPr>
        <w:t>Sazba poplatku činí 0,85 Kč za l.</w:t>
      </w:r>
    </w:p>
    <w:p w:rsidR="009273DF" w:rsidRDefault="00BD6875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>Čl. 6</w:t>
      </w:r>
      <w:r>
        <w:rPr>
          <w:rFonts w:ascii="Times New Roman" w:hAnsi="Times New Roman"/>
        </w:rPr>
        <w:br/>
        <w:t>Výpočet poplatku</w:t>
      </w:r>
    </w:p>
    <w:p w:rsidR="009273DF" w:rsidRDefault="00BD6875">
      <w:pPr>
        <w:pStyle w:val="Odstavec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Poplatek se vypočte jako součet dílčích poplatků za jednotlivé kalendářní měsíce, na jejichž konci</w:t>
      </w:r>
    </w:p>
    <w:p w:rsidR="009273DF" w:rsidRDefault="00BD6875">
      <w:pPr>
        <w:pStyle w:val="Odstavec"/>
        <w:numPr>
          <w:ilvl w:val="1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měl poplatník v nemovité věci bydliště,</w:t>
      </w:r>
    </w:p>
    <w:p w:rsidR="009273DF" w:rsidRDefault="00BD6875">
      <w:pPr>
        <w:pStyle w:val="Odstavec"/>
        <w:numPr>
          <w:ilvl w:val="1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nebo neměla v nemovité věci bydliště žádná fyzická osoba v případě, že poplatníkem je vlastník této nemovité věci</w:t>
      </w:r>
      <w:r>
        <w:rPr>
          <w:rStyle w:val="FootnoteReference"/>
          <w:rFonts w:ascii="Times New Roman" w:hAnsi="Times New Roman"/>
        </w:rPr>
        <w:footnoteReference w:id="13"/>
      </w:r>
      <w:r>
        <w:rPr>
          <w:rFonts w:ascii="Times New Roman" w:hAnsi="Times New Roman"/>
        </w:rPr>
        <w:t>.</w:t>
      </w:r>
    </w:p>
    <w:p w:rsidR="009273DF" w:rsidRDefault="00BD6875">
      <w:pPr>
        <w:pStyle w:val="Odstavec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Dílčí poplatek za kalendářní měsíc se vypočte jako součin základu dílčího poplatku zaokrouhleného na celé litry nahoru a sazby pro tento základ</w:t>
      </w:r>
      <w:r>
        <w:rPr>
          <w:rStyle w:val="FootnoteReference"/>
          <w:rFonts w:ascii="Times New Roman" w:hAnsi="Times New Roman"/>
        </w:rPr>
        <w:footnoteReference w:id="14"/>
      </w:r>
      <w:r>
        <w:rPr>
          <w:rFonts w:ascii="Times New Roman" w:hAnsi="Times New Roman"/>
        </w:rPr>
        <w:t>.</w:t>
      </w:r>
    </w:p>
    <w:p w:rsidR="009273DF" w:rsidRDefault="00BD6875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>Čl. 7</w:t>
      </w:r>
      <w:r>
        <w:rPr>
          <w:rFonts w:ascii="Times New Roman" w:hAnsi="Times New Roman"/>
        </w:rPr>
        <w:br/>
        <w:t>Splatnost poplatku</w:t>
      </w:r>
    </w:p>
    <w:p w:rsidR="009273DF" w:rsidRDefault="00BD6875">
      <w:pPr>
        <w:pStyle w:val="Odstavec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Plátce poplatku odvede vybraný poplatek správci poplatku nejpozději do 31. prosince příslušného kalendářního roku.  </w:t>
      </w:r>
    </w:p>
    <w:p w:rsidR="009273DF" w:rsidRDefault="00BD6875">
      <w:pPr>
        <w:pStyle w:val="ListParagraph"/>
        <w:ind w:left="135" w:firstLine="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  a) za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</w:rPr>
        <w:t>dílčí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období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od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ledna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</w:rPr>
        <w:t>30. června,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30.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>června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 xml:space="preserve">příslušného kalendářního </w:t>
      </w:r>
      <w:r>
        <w:rPr>
          <w:rFonts w:ascii="Times New Roman" w:hAnsi="Times New Roman" w:cs="Times New Roman"/>
        </w:rPr>
        <w:tab/>
        <w:t>roku,</w:t>
      </w:r>
    </w:p>
    <w:p w:rsidR="009273DF" w:rsidRDefault="00BD6875" w:rsidP="00B11484">
      <w:pPr>
        <w:pStyle w:val="ListParagraph"/>
        <w:tabs>
          <w:tab w:val="left" w:pos="709"/>
        </w:tabs>
        <w:spacing w:line="266" w:lineRule="auto"/>
        <w:ind w:left="0" w:right="129" w:firstLine="0"/>
        <w:jc w:val="left"/>
      </w:pPr>
      <w:r>
        <w:rPr>
          <w:rFonts w:ascii="Times New Roman" w:hAnsi="Times New Roman" w:cs="Times New Roman"/>
        </w:rPr>
        <w:t xml:space="preserve">     b) za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dílčí</w:t>
      </w:r>
      <w:r>
        <w:rPr>
          <w:rFonts w:ascii="Times New Roman" w:hAnsi="Times New Roman" w:cs="Times New Roman"/>
          <w:spacing w:val="49"/>
        </w:rPr>
        <w:t xml:space="preserve"> </w:t>
      </w:r>
      <w:r>
        <w:rPr>
          <w:rFonts w:ascii="Times New Roman" w:hAnsi="Times New Roman" w:cs="Times New Roman"/>
        </w:rPr>
        <w:t>období</w:t>
      </w:r>
      <w:r>
        <w:rPr>
          <w:rFonts w:ascii="Times New Roman" w:hAnsi="Times New Roman" w:cs="Times New Roman"/>
          <w:spacing w:val="49"/>
        </w:rPr>
        <w:t xml:space="preserve"> </w:t>
      </w:r>
      <w:r>
        <w:rPr>
          <w:rFonts w:ascii="Times New Roman" w:hAnsi="Times New Roman" w:cs="Times New Roman"/>
        </w:rPr>
        <w:t>od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července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31.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prosince,</w:t>
      </w:r>
      <w:r>
        <w:rPr>
          <w:rFonts w:ascii="Times New Roman" w:hAnsi="Times New Roman" w:cs="Times New Roman"/>
          <w:spacing w:val="55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50"/>
        </w:rPr>
        <w:t xml:space="preserve"> </w:t>
      </w:r>
      <w:r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31.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prosince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 xml:space="preserve">příslušného    </w:t>
      </w:r>
      <w:r>
        <w:rPr>
          <w:rFonts w:ascii="Times New Roman" w:hAnsi="Times New Roman" w:cs="Times New Roman"/>
        </w:rPr>
        <w:tab/>
        <w:t>kalendářního roku.</w:t>
      </w:r>
    </w:p>
    <w:p w:rsidR="009273DF" w:rsidRDefault="009273DF">
      <w:pPr>
        <w:pStyle w:val="Standard"/>
        <w:rPr>
          <w:rFonts w:ascii="Times New Roman" w:hAnsi="Times New Roman"/>
        </w:rPr>
      </w:pPr>
    </w:p>
    <w:p w:rsidR="009273DF" w:rsidRDefault="00BD6875">
      <w:pPr>
        <w:pStyle w:val="Odstavec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Není-li plátce poplatku, zaplatí poplatek ve lhůtě podle odstavce 1 poplatník</w:t>
      </w:r>
      <w:r>
        <w:rPr>
          <w:rStyle w:val="FootnoteReference"/>
          <w:rFonts w:ascii="Times New Roman" w:hAnsi="Times New Roman"/>
        </w:rPr>
        <w:footnoteReference w:id="15"/>
      </w:r>
      <w:r>
        <w:rPr>
          <w:rFonts w:ascii="Times New Roman" w:hAnsi="Times New Roman"/>
        </w:rPr>
        <w:t>.</w:t>
      </w:r>
    </w:p>
    <w:p w:rsidR="009273DF" w:rsidRDefault="00BD6875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>Čl. 8</w:t>
      </w:r>
      <w:r>
        <w:rPr>
          <w:rFonts w:ascii="Times New Roman" w:hAnsi="Times New Roman"/>
        </w:rPr>
        <w:br/>
        <w:t>Přechodné a zrušovací ustanovení</w:t>
      </w:r>
    </w:p>
    <w:p w:rsidR="009273DF" w:rsidRDefault="00BD6875">
      <w:pPr>
        <w:pStyle w:val="Odstavec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Poplatkové povinnosti vzniklé před nabytím účinnosti této vyhlášky se posuzují podle dosavadních právních předpisů.</w:t>
      </w:r>
    </w:p>
    <w:p w:rsidR="009273DF" w:rsidRDefault="00BD6875">
      <w:pPr>
        <w:pStyle w:val="Odstavec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Zrušuje se obecně závazná vyhláška č. 1/2024, o místním poplatku za odkládání komunálního odpadu z nemovité věci č. 1/2024, ze dne 19. dubna 2024.</w:t>
      </w:r>
    </w:p>
    <w:p w:rsidR="009273DF" w:rsidRDefault="00BD6875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>Čl. 9</w:t>
      </w:r>
      <w:r>
        <w:rPr>
          <w:rFonts w:ascii="Times New Roman" w:hAnsi="Times New Roman"/>
        </w:rPr>
        <w:br/>
        <w:t>Účinnost</w:t>
      </w:r>
    </w:p>
    <w:p w:rsidR="009273DF" w:rsidRDefault="00BD6875">
      <w:pPr>
        <w:pStyle w:val="Odstavec"/>
        <w:rPr>
          <w:rFonts w:ascii="Times New Roman" w:hAnsi="Times New Roman"/>
        </w:rPr>
      </w:pPr>
      <w:r>
        <w:rPr>
          <w:rFonts w:ascii="Times New Roman" w:hAnsi="Times New Roman"/>
        </w:rPr>
        <w:t>Tato vyhláška nabývá účinnosti dnem 1. ledna 2025.</w:t>
      </w:r>
    </w:p>
    <w:p w:rsidR="00F7417A" w:rsidRDefault="00F7417A">
      <w:pPr>
        <w:pStyle w:val="Odstavec"/>
        <w:rPr>
          <w:rFonts w:ascii="Times New Roman" w:hAnsi="Times New Roman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273D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273DF" w:rsidRDefault="00BD6875">
            <w:pPr>
              <w:pStyle w:val="PodpisovePo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Bc. Zdeněk Černý v. r.</w:t>
            </w:r>
            <w:r>
              <w:rPr>
                <w:rFonts w:ascii="Times New Roman" w:hAnsi="Times New Roma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273DF" w:rsidRDefault="00BD6875">
            <w:pPr>
              <w:pStyle w:val="PodpisovePo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Gabriela Trojanová v. r.</w:t>
            </w:r>
            <w:r>
              <w:rPr>
                <w:rFonts w:ascii="Times New Roman" w:hAnsi="Times New Roman"/>
              </w:rPr>
              <w:br/>
              <w:t xml:space="preserve"> místostarostka</w:t>
            </w:r>
          </w:p>
        </w:tc>
      </w:tr>
      <w:tr w:rsidR="009273D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273DF" w:rsidRDefault="009273DF">
            <w:pPr>
              <w:pStyle w:val="PodpisovePole"/>
              <w:rPr>
                <w:rFonts w:ascii="Times New Roman" w:hAnsi="Times New Roma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273DF" w:rsidRDefault="009273DF">
            <w:pPr>
              <w:pStyle w:val="PodpisovePole"/>
              <w:rPr>
                <w:rFonts w:ascii="Times New Roman" w:hAnsi="Times New Roman"/>
              </w:rPr>
            </w:pPr>
          </w:p>
        </w:tc>
      </w:tr>
    </w:tbl>
    <w:p w:rsidR="009273DF" w:rsidRDefault="009273DF">
      <w:pPr>
        <w:pStyle w:val="Standard"/>
        <w:rPr>
          <w:rFonts w:ascii="Times New Roman" w:hAnsi="Times New Roman"/>
        </w:rPr>
      </w:pPr>
    </w:p>
    <w:sectPr w:rsidR="009273DF"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E30" w:rsidRDefault="00700E30">
      <w:r>
        <w:separator/>
      </w:r>
    </w:p>
  </w:endnote>
  <w:endnote w:type="continuationSeparator" w:id="0">
    <w:p w:rsidR="00700E30" w:rsidRDefault="0070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E30" w:rsidRDefault="00700E30">
      <w:r>
        <w:rPr>
          <w:color w:val="000000"/>
        </w:rPr>
        <w:separator/>
      </w:r>
    </w:p>
  </w:footnote>
  <w:footnote w:type="continuationSeparator" w:id="0">
    <w:p w:rsidR="00700E30" w:rsidRDefault="00700E30">
      <w:r>
        <w:continuationSeparator/>
      </w:r>
    </w:p>
  </w:footnote>
  <w:footnote w:id="1">
    <w:p w:rsidR="009273DF" w:rsidRDefault="00BD6875">
      <w:pPr>
        <w:pStyle w:val="Footnote"/>
      </w:pPr>
      <w:r>
        <w:rPr>
          <w:rStyle w:val="FootnoteReference"/>
        </w:rPr>
        <w:footnoteRef/>
      </w:r>
      <w:r>
        <w:t>§ 10o odst. 1 zákona o místních poplatcích</w:t>
      </w:r>
    </w:p>
  </w:footnote>
  <w:footnote w:id="2">
    <w:p w:rsidR="009273DF" w:rsidRDefault="00BD6875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3">
    <w:p w:rsidR="009273DF" w:rsidRDefault="00BD6875">
      <w:pPr>
        <w:pStyle w:val="Footnote"/>
      </w:pPr>
      <w:r>
        <w:rPr>
          <w:rStyle w:val="FootnoteReference"/>
        </w:rPr>
        <w:footnoteRef/>
      </w:r>
      <w:r>
        <w:t>§ 10j zákona o místních poplatcích</w:t>
      </w:r>
    </w:p>
  </w:footnote>
  <w:footnote w:id="4">
    <w:p w:rsidR="009273DF" w:rsidRDefault="00BD6875">
      <w:pPr>
        <w:pStyle w:val="Footnote"/>
      </w:pPr>
      <w:r>
        <w:rPr>
          <w:rStyle w:val="FootnoteReference"/>
        </w:rPr>
        <w:footnoteRef/>
      </w:r>
      <w:r>
        <w:t>§ 10i zákona o místních poplatcích</w:t>
      </w:r>
    </w:p>
  </w:footnote>
  <w:footnote w:id="5">
    <w:p w:rsidR="009273DF" w:rsidRDefault="00BD6875">
      <w:pPr>
        <w:pStyle w:val="Footnote"/>
      </w:pPr>
      <w:r>
        <w:rPr>
          <w:rStyle w:val="FootnoteReference"/>
        </w:rPr>
        <w:footnoteRef/>
      </w:r>
      <w:r>
        <w:t>§ 10n odst. 1 zákona o místních poplatcích</w:t>
      </w:r>
    </w:p>
  </w:footnote>
  <w:footnote w:id="6">
    <w:p w:rsidR="009273DF" w:rsidRDefault="00BD6875">
      <w:pPr>
        <w:pStyle w:val="Footnote"/>
      </w:pPr>
      <w:r>
        <w:rPr>
          <w:rStyle w:val="FootnoteReference"/>
        </w:rPr>
        <w:footnoteRef/>
      </w:r>
      <w:r>
        <w:t>§ 10n odst. 2 zákona o místních poplatcích</w:t>
      </w:r>
    </w:p>
  </w:footnote>
  <w:footnote w:id="7">
    <w:p w:rsidR="009273DF" w:rsidRDefault="00BD6875">
      <w:pPr>
        <w:pStyle w:val="Footnote"/>
      </w:pPr>
      <w:r>
        <w:rPr>
          <w:rStyle w:val="FootnoteReference"/>
        </w:rPr>
        <w:footnoteRef/>
      </w:r>
      <w:r>
        <w:t>§ 10p zákona o místních poplatcích</w:t>
      </w:r>
    </w:p>
  </w:footnote>
  <w:footnote w:id="8">
    <w:p w:rsidR="009273DF" w:rsidRDefault="00BD6875">
      <w:pPr>
        <w:pStyle w:val="Footnote"/>
      </w:pPr>
      <w:r>
        <w:rPr>
          <w:rStyle w:val="FootnoteReference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9273DF" w:rsidRDefault="00BD6875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10">
    <w:p w:rsidR="009273DF" w:rsidRDefault="00BD6875">
      <w:pPr>
        <w:pStyle w:val="Footnote"/>
      </w:pPr>
      <w:r>
        <w:rPr>
          <w:rStyle w:val="FootnoteReference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9273DF" w:rsidRDefault="00BD6875">
      <w:pPr>
        <w:pStyle w:val="Footnote"/>
      </w:pPr>
      <w:r>
        <w:rPr>
          <w:rStyle w:val="FootnoteReference"/>
        </w:rPr>
        <w:footnoteRef/>
      </w:r>
      <w:r>
        <w:t>§ 10k odst. 1 zákona o místních poplatcích</w:t>
      </w:r>
    </w:p>
  </w:footnote>
  <w:footnote w:id="12">
    <w:p w:rsidR="009273DF" w:rsidRDefault="00BD6875">
      <w:pPr>
        <w:pStyle w:val="Footnote"/>
      </w:pPr>
      <w:r>
        <w:rPr>
          <w:rStyle w:val="FootnoteReference"/>
        </w:rPr>
        <w:footnoteRef/>
      </w:r>
      <w:r>
        <w:t>§ 10k odst. 3 zákona o místních poplatcích</w:t>
      </w:r>
    </w:p>
  </w:footnote>
  <w:footnote w:id="13">
    <w:p w:rsidR="009273DF" w:rsidRDefault="00BD6875">
      <w:pPr>
        <w:pStyle w:val="Footnote"/>
      </w:pPr>
      <w:r>
        <w:rPr>
          <w:rStyle w:val="FootnoteReference"/>
        </w:rPr>
        <w:footnoteRef/>
      </w:r>
      <w:r>
        <w:t>§ 10m odst. 1 zákona o místních poplatcích</w:t>
      </w:r>
    </w:p>
  </w:footnote>
  <w:footnote w:id="14">
    <w:p w:rsidR="009273DF" w:rsidRDefault="00BD6875">
      <w:pPr>
        <w:pStyle w:val="Footnote"/>
      </w:pPr>
      <w:r>
        <w:rPr>
          <w:rStyle w:val="FootnoteReference"/>
        </w:rPr>
        <w:footnoteRef/>
      </w:r>
      <w:r>
        <w:t>§ 10m odst. 2 zákona o místních poplatcích</w:t>
      </w:r>
    </w:p>
  </w:footnote>
  <w:footnote w:id="15">
    <w:p w:rsidR="009273DF" w:rsidRDefault="00BD6875">
      <w:pPr>
        <w:pStyle w:val="Footnote"/>
      </w:pPr>
      <w:r>
        <w:rPr>
          <w:rStyle w:val="FootnoteReference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92079C"/>
    <w:multiLevelType w:val="multilevel"/>
    <w:tmpl w:val="381AB6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71077B8"/>
    <w:multiLevelType w:val="multilevel"/>
    <w:tmpl w:val="5C3E2BB6"/>
    <w:styleLink w:val="WWNum1"/>
    <w:lvl w:ilvl="0">
      <w:start w:val="1"/>
      <w:numFmt w:val="decimal"/>
      <w:lvlText w:val="(%1)"/>
      <w:lvlJc w:val="left"/>
      <w:pPr>
        <w:ind w:left="702" w:hanging="567"/>
      </w:pPr>
      <w:rPr>
        <w:rFonts w:ascii="Times New Roman" w:eastAsia="Microsoft Sans Serif" w:hAnsi="Times New Roman" w:cs="Times New Roman"/>
      </w:rPr>
    </w:lvl>
    <w:lvl w:ilvl="1">
      <w:start w:val="1"/>
      <w:numFmt w:val="lowerLetter"/>
      <w:lvlText w:val="%2)"/>
      <w:lvlJc w:val="left"/>
      <w:pPr>
        <w:ind w:left="1156" w:hanging="454"/>
      </w:pPr>
      <w:rPr>
        <w:rFonts w:ascii="Times New Roman" w:eastAsia="Microsoft Sans Serif" w:hAnsi="Times New Roman" w:cs="Microsoft Sans Serif"/>
      </w:rPr>
    </w:lvl>
    <w:lvl w:ilvl="2">
      <w:numFmt w:val="bullet"/>
      <w:lvlText w:val="•"/>
      <w:lvlJc w:val="left"/>
      <w:pPr>
        <w:ind w:left="2068" w:hanging="454"/>
      </w:pPr>
    </w:lvl>
    <w:lvl w:ilvl="3">
      <w:numFmt w:val="bullet"/>
      <w:lvlText w:val="•"/>
      <w:lvlJc w:val="left"/>
      <w:pPr>
        <w:ind w:left="2977" w:hanging="454"/>
      </w:pPr>
    </w:lvl>
    <w:lvl w:ilvl="4">
      <w:numFmt w:val="bullet"/>
      <w:lvlText w:val="•"/>
      <w:lvlJc w:val="left"/>
      <w:pPr>
        <w:ind w:left="3886" w:hanging="454"/>
      </w:pPr>
    </w:lvl>
    <w:lvl w:ilvl="5">
      <w:numFmt w:val="bullet"/>
      <w:lvlText w:val="•"/>
      <w:lvlJc w:val="left"/>
      <w:pPr>
        <w:ind w:left="4795" w:hanging="454"/>
      </w:pPr>
    </w:lvl>
    <w:lvl w:ilvl="6">
      <w:numFmt w:val="bullet"/>
      <w:lvlText w:val="•"/>
      <w:lvlJc w:val="left"/>
      <w:pPr>
        <w:ind w:left="5704" w:hanging="454"/>
      </w:pPr>
    </w:lvl>
    <w:lvl w:ilvl="7">
      <w:numFmt w:val="bullet"/>
      <w:lvlText w:val="•"/>
      <w:lvlJc w:val="left"/>
      <w:pPr>
        <w:ind w:left="6613" w:hanging="454"/>
      </w:pPr>
    </w:lvl>
    <w:lvl w:ilvl="8">
      <w:numFmt w:val="bullet"/>
      <w:lvlText w:val="•"/>
      <w:lvlJc w:val="left"/>
      <w:pPr>
        <w:ind w:left="7522" w:hanging="454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73DF"/>
    <w:rsid w:val="003726DE"/>
    <w:rsid w:val="004A7478"/>
    <w:rsid w:val="00567536"/>
    <w:rsid w:val="005E1479"/>
    <w:rsid w:val="00700E30"/>
    <w:rsid w:val="009273DF"/>
    <w:rsid w:val="00B11484"/>
    <w:rsid w:val="00BD6875"/>
    <w:rsid w:val="00CB0A6C"/>
    <w:rsid w:val="00F7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CAF5A602-F850-498E-8F52-7C0E6B565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val="cs-CZ" w:eastAsia="zh-CN" w:bidi="hi-IN"/>
    </w:rPr>
  </w:style>
  <w:style w:type="paragraph" w:styleId="Heading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val="cs-CZ"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TableNormal1">
    <w:name w:val="Table Normal1"/>
    <w:pPr>
      <w:widowControl w:val="0"/>
      <w:suppressAutoHyphens/>
      <w:autoSpaceDN w:val="0"/>
    </w:pPr>
    <w:rPr>
      <w:rFonts w:ascii="Calibri" w:eastAsia="Microsoft Sans Serif" w:hAnsi="Calibri" w:cs="Times New Roman"/>
      <w:kern w:val="3"/>
      <w:sz w:val="22"/>
      <w:szCs w:val="22"/>
    </w:rPr>
  </w:style>
  <w:style w:type="paragraph" w:styleId="ListParagraph">
    <w:name w:val="List Paragraph"/>
    <w:basedOn w:val="Standard"/>
    <w:pPr>
      <w:spacing w:before="119"/>
      <w:ind w:left="702" w:hanging="567"/>
      <w:jc w:val="both"/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">
    <w:name w:val="ListLabel 1"/>
    <w:rPr>
      <w:rFonts w:ascii="Times New Roman" w:eastAsia="Microsoft Sans Serif" w:hAnsi="Times New Roman" w:cs="Times New Roman"/>
    </w:rPr>
  </w:style>
  <w:style w:type="character" w:customStyle="1" w:styleId="ListLabel2">
    <w:name w:val="ListLabel 2"/>
    <w:rPr>
      <w:rFonts w:ascii="Times New Roman" w:eastAsia="Microsoft Sans Serif" w:hAnsi="Times New Roman" w:cs="Microsoft Sans Serif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numbering" w:customStyle="1" w:styleId="WWNum1">
    <w:name w:val="WWNum1"/>
    <w:basedOn w:val="NoList"/>
    <w:pPr>
      <w:numPr>
        <w:numId w:val="1"/>
      </w:numPr>
    </w:pPr>
  </w:style>
  <w:style w:type="character" w:styleId="FootnoteReference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3363</Characters>
  <Application>Microsoft Office Word</Application>
  <DocSecurity>4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word</cp:lastModifiedBy>
  <cp:revision>2</cp:revision>
  <cp:lastPrinted>2024-11-06T12:40:00Z</cp:lastPrinted>
  <dcterms:created xsi:type="dcterms:W3CDTF">2024-11-11T06:44:00Z</dcterms:created>
  <dcterms:modified xsi:type="dcterms:W3CDTF">2024-11-11T06:44:00Z</dcterms:modified>
</cp:coreProperties>
</file>