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38BC" w:rsidRDefault="006903B1">
      <w:bookmarkStart w:id="0" w:name="_GoBack"/>
      <w:bookmarkEnd w:id="0"/>
      <w:r>
        <w:t> </w:t>
      </w:r>
    </w:p>
    <w:p w:rsidR="00ED38BC" w:rsidRDefault="006903B1">
      <w:pPr>
        <w:jc w:val="center"/>
      </w:pPr>
      <w:r>
        <w:t> </w:t>
      </w:r>
      <w:r>
        <w:rPr>
          <w:b/>
          <w:bCs/>
          <w:spacing w:val="20"/>
          <w:sz w:val="32"/>
          <w:szCs w:val="32"/>
        </w:rPr>
        <w:t xml:space="preserve">Vyhláška statutárního města Plzně </w:t>
      </w:r>
    </w:p>
    <w:p w:rsidR="00ED38BC" w:rsidRDefault="006903B1">
      <w:pPr>
        <w:jc w:val="center"/>
      </w:pPr>
      <w:r>
        <w:rPr>
          <w:b/>
          <w:bCs/>
          <w:spacing w:val="20"/>
          <w:sz w:val="32"/>
          <w:szCs w:val="32"/>
        </w:rPr>
        <w:t>č. 7/2009,</w:t>
      </w:r>
    </w:p>
    <w:p w:rsidR="00ED38BC" w:rsidRDefault="006903B1">
      <w:pPr>
        <w:jc w:val="center"/>
      </w:pPr>
      <w:r>
        <w:rPr>
          <w:b/>
          <w:bCs/>
          <w:spacing w:val="20"/>
          <w:sz w:val="32"/>
          <w:szCs w:val="32"/>
        </w:rPr>
        <w:t xml:space="preserve">kterou se mění vyhláška statutárního města Plzně    </w:t>
      </w:r>
    </w:p>
    <w:p w:rsidR="00ED38BC" w:rsidRDefault="006903B1">
      <w:pPr>
        <w:jc w:val="center"/>
      </w:pPr>
      <w:r>
        <w:rPr>
          <w:b/>
          <w:bCs/>
          <w:spacing w:val="20"/>
          <w:sz w:val="32"/>
          <w:szCs w:val="32"/>
        </w:rPr>
        <w:t>        č. 33/199</w:t>
      </w:r>
      <w:r>
        <w:rPr>
          <w:spacing w:val="20"/>
          <w:sz w:val="32"/>
          <w:szCs w:val="32"/>
        </w:rPr>
        <w:t>7</w:t>
      </w:r>
      <w:r>
        <w:rPr>
          <w:b/>
          <w:bCs/>
          <w:spacing w:val="20"/>
          <w:sz w:val="32"/>
          <w:szCs w:val="32"/>
        </w:rPr>
        <w:t>, o rekreačních oblastech města</w:t>
      </w:r>
    </w:p>
    <w:p w:rsidR="00ED38BC" w:rsidRDefault="006903B1">
      <w:pPr>
        <w:jc w:val="center"/>
      </w:pPr>
      <w:r>
        <w:rPr>
          <w:b/>
          <w:bCs/>
          <w:spacing w:val="20"/>
        </w:rPr>
        <w:t> </w:t>
      </w:r>
    </w:p>
    <w:p w:rsidR="00ED38BC" w:rsidRDefault="006903B1">
      <w:r>
        <w:t>  </w:t>
      </w:r>
    </w:p>
    <w:p w:rsidR="00ED38BC" w:rsidRDefault="006903B1">
      <w:pPr>
        <w:spacing w:after="120"/>
        <w:ind w:firstLine="708"/>
        <w:jc w:val="both"/>
      </w:pPr>
      <w:r>
        <w:t xml:space="preserve">Zastupitelstvo města Plzně vydalo usnesením č. 566 ze dne 3. září 2009 </w:t>
      </w:r>
      <w:proofErr w:type="gramStart"/>
      <w:r>
        <w:t>podle  §</w:t>
      </w:r>
      <w:proofErr w:type="gramEnd"/>
      <w:r>
        <w:t xml:space="preserve"> 84 odst. 2 písm. h) zákona č. 128/2000 Sb., o obcích, ve znění pozdějších předpisů, tuto</w:t>
      </w:r>
    </w:p>
    <w:p w:rsidR="00ED38BC" w:rsidRDefault="006903B1">
      <w:pPr>
        <w:spacing w:after="120"/>
        <w:ind w:firstLine="708"/>
        <w:jc w:val="center"/>
      </w:pPr>
      <w:r>
        <w:rPr>
          <w:rStyle w:val="Siln"/>
          <w:spacing w:val="20"/>
          <w:sz w:val="32"/>
          <w:szCs w:val="32"/>
        </w:rPr>
        <w:t> </w:t>
      </w:r>
    </w:p>
    <w:p w:rsidR="00ED38BC" w:rsidRDefault="006903B1">
      <w:pPr>
        <w:spacing w:after="120"/>
        <w:ind w:firstLine="708"/>
        <w:jc w:val="center"/>
      </w:pPr>
      <w:r>
        <w:rPr>
          <w:rStyle w:val="Siln"/>
          <w:spacing w:val="20"/>
          <w:sz w:val="32"/>
          <w:szCs w:val="32"/>
        </w:rPr>
        <w:t>obecně závaznou vyhlášku:</w:t>
      </w:r>
    </w:p>
    <w:p w:rsidR="00ED38BC" w:rsidRDefault="006903B1">
      <w:pPr>
        <w:jc w:val="center"/>
      </w:pPr>
      <w:r>
        <w:t>   </w:t>
      </w:r>
    </w:p>
    <w:p w:rsidR="00ED38BC" w:rsidRDefault="006903B1">
      <w:r>
        <w:t> </w:t>
      </w:r>
    </w:p>
    <w:p w:rsidR="00ED38BC" w:rsidRDefault="006903B1">
      <w:pPr>
        <w:pStyle w:val="Nadpis1"/>
        <w:rPr>
          <w:rFonts w:eastAsia="Times New Roman"/>
        </w:rPr>
      </w:pPr>
      <w:r>
        <w:rPr>
          <w:rFonts w:eastAsia="Times New Roman"/>
        </w:rPr>
        <w:t>Článek 1</w:t>
      </w:r>
    </w:p>
    <w:p w:rsidR="00ED38BC" w:rsidRDefault="006903B1">
      <w:r>
        <w:t> </w:t>
      </w:r>
    </w:p>
    <w:p w:rsidR="00ED38BC" w:rsidRDefault="006903B1">
      <w:r>
        <w:t> </w:t>
      </w:r>
    </w:p>
    <w:p w:rsidR="00ED38BC" w:rsidRDefault="006903B1">
      <w:pPr>
        <w:ind w:firstLine="708"/>
      </w:pPr>
      <w:r>
        <w:t>Vyhláška města Plzně č. 33/1997 o rekreačních oblastech města, ve znění vyhlášky    č. 12/2000, se mění takto:</w:t>
      </w:r>
    </w:p>
    <w:p w:rsidR="00ED38BC" w:rsidRDefault="006903B1">
      <w:r>
        <w:t> </w:t>
      </w:r>
    </w:p>
    <w:p w:rsidR="00ED38BC" w:rsidRDefault="006903B1">
      <w:r>
        <w:t> </w:t>
      </w:r>
    </w:p>
    <w:p w:rsidR="00ED38BC" w:rsidRDefault="006903B1">
      <w:pPr>
        <w:ind w:left="360" w:hanging="360"/>
      </w:pPr>
      <w:r>
        <w:t xml:space="preserve">1.   V Článku 1 odst. 2 se za dosavadní písmeno g) vkládají nová písmena h), i), j), která zní: </w:t>
      </w:r>
    </w:p>
    <w:p w:rsidR="00ED38BC" w:rsidRDefault="006903B1">
      <w:r>
        <w:t> </w:t>
      </w:r>
    </w:p>
    <w:p w:rsidR="00ED38BC" w:rsidRDefault="006903B1">
      <w:pPr>
        <w:ind w:left="360"/>
      </w:pPr>
      <w:r>
        <w:t> „h) Dubová hora</w:t>
      </w:r>
    </w:p>
    <w:p w:rsidR="00ED38BC" w:rsidRDefault="006903B1">
      <w:pPr>
        <w:ind w:left="360"/>
      </w:pPr>
      <w:r>
        <w:t>i)  Valcha</w:t>
      </w:r>
    </w:p>
    <w:p w:rsidR="00ED38BC" w:rsidRDefault="006903B1">
      <w:pPr>
        <w:ind w:left="360"/>
      </w:pPr>
      <w:r>
        <w:t>j)  Pytel“.</w:t>
      </w:r>
    </w:p>
    <w:p w:rsidR="00ED38BC" w:rsidRDefault="006903B1">
      <w:r>
        <w:t> </w:t>
      </w:r>
    </w:p>
    <w:p w:rsidR="00ED38BC" w:rsidRDefault="006903B1">
      <w:r>
        <w:t> </w:t>
      </w:r>
    </w:p>
    <w:p w:rsidR="00ED38BC" w:rsidRDefault="006903B1">
      <w:r>
        <w:t xml:space="preserve">2.   V Článku 2 se za dosavadní odstavec 8 vkládají nové odstavce 9, 10, 11, které zní: </w:t>
      </w:r>
    </w:p>
    <w:p w:rsidR="00ED38BC" w:rsidRDefault="006903B1">
      <w:r>
        <w:t> </w:t>
      </w:r>
    </w:p>
    <w:p w:rsidR="00ED38BC" w:rsidRDefault="006903B1">
      <w:pPr>
        <w:ind w:left="360"/>
      </w:pPr>
      <w:r>
        <w:t xml:space="preserve">„(9)      Rekreační oblast Dubová hora je vymezena: </w:t>
      </w:r>
    </w:p>
    <w:p w:rsidR="00ED38BC" w:rsidRDefault="006903B1">
      <w:pPr>
        <w:pStyle w:val="Zkladntext3"/>
        <w:ind w:left="360"/>
      </w:pPr>
      <w:r>
        <w:t xml:space="preserve">na západní straně železniční tratí Plzeň – Klatovy a zastavěnou částí obce Lhota. Na jižním okraji hranicí města Plzně, dále dobývacím prostorem kamenolomu Litice. Východní hranice je vymezena okrajem lesa, nezpevněnou komunikací </w:t>
      </w:r>
      <w:proofErr w:type="gramStart"/>
      <w:r>
        <w:t>Litice  -</w:t>
      </w:r>
      <w:proofErr w:type="gramEnd"/>
      <w:r>
        <w:t xml:space="preserve"> Lhota a západním okrajem zastavěné části obce Litice. Dále je vymezena komunikací Litice – Valcha až k železniční trati Plzeň – Klatovy. Rekreační oblast Dubová hora na severovýchodním okraji navazuje na rekreační oblast České údolí. Zahrnuje vodní tok řeku Radbuzu, její údolní nivu a lesní </w:t>
      </w:r>
      <w:proofErr w:type="gramStart"/>
      <w:r>
        <w:t>komplex  Dubová</w:t>
      </w:r>
      <w:proofErr w:type="gramEnd"/>
      <w:r>
        <w:t xml:space="preserve"> hora na jihozápadním okraji města Plzně.</w:t>
      </w:r>
    </w:p>
    <w:p w:rsidR="00ED38BC" w:rsidRDefault="006903B1">
      <w:pPr>
        <w:ind w:left="360"/>
      </w:pPr>
      <w:r>
        <w:t> </w:t>
      </w:r>
    </w:p>
    <w:p w:rsidR="00ED38BC" w:rsidRDefault="006903B1">
      <w:pPr>
        <w:ind w:left="360"/>
      </w:pPr>
      <w:r>
        <w:t xml:space="preserve">(10)      Rekreační </w:t>
      </w:r>
      <w:proofErr w:type="gramStart"/>
      <w:r>
        <w:t>oblast  Valcha</w:t>
      </w:r>
      <w:proofErr w:type="gramEnd"/>
      <w:r>
        <w:t xml:space="preserve"> je vymezena:</w:t>
      </w:r>
    </w:p>
    <w:p w:rsidR="00ED38BC" w:rsidRDefault="006903B1">
      <w:pPr>
        <w:pStyle w:val="Zkladntext3"/>
        <w:ind w:left="360"/>
      </w:pPr>
      <w:r>
        <w:t xml:space="preserve">na západní straně hranicí města a zpevněnou komunikací. Na jižní straně hranicí lesa a </w:t>
      </w:r>
      <w:proofErr w:type="gramStart"/>
      <w:r>
        <w:t>na  východní</w:t>
      </w:r>
      <w:proofErr w:type="gramEnd"/>
      <w:r>
        <w:t xml:space="preserve"> straně železniční tratí Plzeň – Klatovy. Severní hranici představuje okraj lesního komplexu a zástavby průmyslové zástavby Borských polí. Severozápadní hranici tvoří komunikace I/26 Plzeň – Domažlice.  Rekreační oblast Valcha na východní straně navazuje na rekreační oblast České údolí. Je tvořena lesním komplexem mezi Novou Hospodou a Valchou na jihozápadním okraji města Plzně.</w:t>
      </w:r>
    </w:p>
    <w:p w:rsidR="00ED38BC" w:rsidRDefault="006903B1">
      <w:pPr>
        <w:ind w:left="360"/>
      </w:pPr>
      <w:r>
        <w:t xml:space="preserve">   </w:t>
      </w:r>
    </w:p>
    <w:p w:rsidR="00ED38BC" w:rsidRDefault="006903B1">
      <w:pPr>
        <w:ind w:left="360"/>
      </w:pPr>
      <w:r>
        <w:lastRenderedPageBreak/>
        <w:t>(11)      Rekreační oblast Pytel je vymezena:</w:t>
      </w:r>
    </w:p>
    <w:p w:rsidR="00ED38BC" w:rsidRDefault="006903B1">
      <w:pPr>
        <w:ind w:left="360"/>
        <w:jc w:val="both"/>
      </w:pPr>
      <w:r>
        <w:t xml:space="preserve">na severní straně zástavbou obce Červený Hrádek a okrajem lesa. Na východní straně hranicí lesa a města Plzně. Jižní okraj je vymezen rovněž hranicí lesa.  Na jižní straně hranicí lesa a odkalištěm </w:t>
      </w:r>
      <w:proofErr w:type="spellStart"/>
      <w:r>
        <w:t>Božkov</w:t>
      </w:r>
      <w:proofErr w:type="spellEnd"/>
      <w:r>
        <w:t xml:space="preserve">, dále na západní straně silnicí </w:t>
      </w:r>
      <w:proofErr w:type="spellStart"/>
      <w:r>
        <w:t>Božkov</w:t>
      </w:r>
      <w:proofErr w:type="spellEnd"/>
      <w:r>
        <w:t xml:space="preserve"> – Červený Hrádek, hranicí lesa a dále pokračuje </w:t>
      </w:r>
      <w:proofErr w:type="gramStart"/>
      <w:r>
        <w:t>až  k</w:t>
      </w:r>
      <w:proofErr w:type="gramEnd"/>
      <w:r>
        <w:t xml:space="preserve"> Hrádecké ulici. Rekreační oblast Pytel je tvořena zejména lesním komplexem Pytel, odkalištěm </w:t>
      </w:r>
      <w:proofErr w:type="spellStart"/>
      <w:r>
        <w:t>Božkov</w:t>
      </w:r>
      <w:proofErr w:type="spellEnd"/>
      <w:r>
        <w:t xml:space="preserve"> </w:t>
      </w:r>
      <w:proofErr w:type="gramStart"/>
      <w:r>
        <w:t>a  Božkovským</w:t>
      </w:r>
      <w:proofErr w:type="gramEnd"/>
      <w:r>
        <w:t xml:space="preserve"> potokem. Nachází se na východním okraji města Plzně mezi Červeným Hrádkem, </w:t>
      </w:r>
      <w:proofErr w:type="gramStart"/>
      <w:r>
        <w:t>Letkovem  a</w:t>
      </w:r>
      <w:proofErr w:type="gramEnd"/>
      <w:r>
        <w:t xml:space="preserve"> </w:t>
      </w:r>
      <w:proofErr w:type="spellStart"/>
      <w:r>
        <w:t>Božkovem</w:t>
      </w:r>
      <w:proofErr w:type="spellEnd"/>
      <w:r>
        <w:t xml:space="preserve">.“. </w:t>
      </w:r>
    </w:p>
    <w:p w:rsidR="00ED38BC" w:rsidRDefault="006903B1">
      <w:r>
        <w:t> </w:t>
      </w:r>
    </w:p>
    <w:p w:rsidR="00ED38BC" w:rsidRDefault="006903B1">
      <w:r>
        <w:t> </w:t>
      </w:r>
    </w:p>
    <w:p w:rsidR="00ED38BC" w:rsidRDefault="006903B1">
      <w:pPr>
        <w:ind w:left="360" w:hanging="360"/>
      </w:pPr>
      <w:r>
        <w:t>3.   V článku 4 se za stávající odstavec 1 vkládá nový odstavec 2 ve znění:</w:t>
      </w:r>
    </w:p>
    <w:p w:rsidR="00ED38BC" w:rsidRDefault="006903B1">
      <w:r>
        <w:t> </w:t>
      </w:r>
    </w:p>
    <w:p w:rsidR="00ED38BC" w:rsidRDefault="006903B1">
      <w:pPr>
        <w:ind w:left="360"/>
      </w:pPr>
      <w:r>
        <w:t xml:space="preserve">„(2) Hranice rekreačních oblastí města Plzně jsou vyznačeny v mapových přílohách č. 1 </w:t>
      </w:r>
      <w:proofErr w:type="gramStart"/>
      <w:r>
        <w:t>až  č.</w:t>
      </w:r>
      <w:proofErr w:type="gramEnd"/>
      <w:r>
        <w:t xml:space="preserve"> 3 této vyhlášky.“.</w:t>
      </w:r>
    </w:p>
    <w:p w:rsidR="00ED38BC" w:rsidRDefault="006903B1">
      <w:pPr>
        <w:ind w:left="360"/>
        <w:jc w:val="both"/>
      </w:pPr>
      <w:r>
        <w:t> </w:t>
      </w:r>
    </w:p>
    <w:p w:rsidR="00ED38BC" w:rsidRDefault="006903B1">
      <w:pPr>
        <w:ind w:left="360"/>
        <w:jc w:val="both"/>
      </w:pPr>
      <w:r>
        <w:t xml:space="preserve">Znění nově vkládaných příloh č. 1 až 3 je uvedeno v přílohách č. 1 až 3 této vyhlášky. </w:t>
      </w:r>
    </w:p>
    <w:p w:rsidR="00ED38BC" w:rsidRDefault="006903B1">
      <w:pPr>
        <w:ind w:left="360"/>
        <w:jc w:val="both"/>
      </w:pPr>
      <w:r>
        <w:t>Dosavadní odstavce 2 a 3 se nově označují jako odstavce 3 a 4.</w:t>
      </w:r>
    </w:p>
    <w:p w:rsidR="00ED38BC" w:rsidRDefault="006903B1">
      <w:r>
        <w:t> </w:t>
      </w:r>
    </w:p>
    <w:p w:rsidR="00ED38BC" w:rsidRDefault="006903B1">
      <w:pPr>
        <w:pStyle w:val="Nadpis1"/>
        <w:rPr>
          <w:rFonts w:eastAsia="Times New Roman"/>
        </w:rPr>
      </w:pPr>
      <w:r>
        <w:rPr>
          <w:rFonts w:eastAsia="Times New Roman"/>
        </w:rPr>
        <w:t> </w:t>
      </w:r>
    </w:p>
    <w:p w:rsidR="00ED38BC" w:rsidRDefault="006903B1">
      <w:pPr>
        <w:pStyle w:val="Nadpis1"/>
        <w:rPr>
          <w:rFonts w:eastAsia="Times New Roman"/>
        </w:rPr>
      </w:pPr>
      <w:r>
        <w:rPr>
          <w:rFonts w:eastAsia="Times New Roman"/>
        </w:rPr>
        <w:t> </w:t>
      </w:r>
    </w:p>
    <w:p w:rsidR="00ED38BC" w:rsidRDefault="006903B1">
      <w:pPr>
        <w:pStyle w:val="Nadpis1"/>
        <w:rPr>
          <w:rFonts w:eastAsia="Times New Roman"/>
        </w:rPr>
      </w:pPr>
      <w:r>
        <w:rPr>
          <w:rFonts w:eastAsia="Times New Roman"/>
        </w:rPr>
        <w:t>Článek 2</w:t>
      </w:r>
    </w:p>
    <w:p w:rsidR="00ED38BC" w:rsidRDefault="006903B1">
      <w:r>
        <w:t> </w:t>
      </w:r>
    </w:p>
    <w:p w:rsidR="00ED38BC" w:rsidRDefault="006903B1">
      <w:r>
        <w:t> </w:t>
      </w:r>
    </w:p>
    <w:p w:rsidR="00ED38BC" w:rsidRDefault="006903B1">
      <w:r>
        <w:t>Tato obecně závazná vyhláška nabývá účinnosti dne 1. listopadu 2009</w:t>
      </w:r>
    </w:p>
    <w:p w:rsidR="00ED38BC" w:rsidRDefault="006903B1">
      <w:r>
        <w:t> </w:t>
      </w:r>
    </w:p>
    <w:p w:rsidR="00ED38BC" w:rsidRDefault="006903B1">
      <w:r>
        <w:t> </w:t>
      </w:r>
    </w:p>
    <w:p w:rsidR="00ED38BC" w:rsidRDefault="006903B1">
      <w:r>
        <w:t> </w:t>
      </w:r>
    </w:p>
    <w:p w:rsidR="00ED38BC" w:rsidRDefault="006903B1">
      <w:r>
        <w:t> </w:t>
      </w:r>
    </w:p>
    <w:p w:rsidR="00ED38BC" w:rsidRDefault="006903B1">
      <w:r>
        <w:t> </w:t>
      </w:r>
    </w:p>
    <w:p w:rsidR="00ED38BC" w:rsidRDefault="006903B1">
      <w:r>
        <w:t> </w:t>
      </w:r>
    </w:p>
    <w:p w:rsidR="00ED38BC" w:rsidRDefault="006903B1">
      <w:r>
        <w:t>            .................................                                  .....................................</w:t>
      </w:r>
    </w:p>
    <w:p w:rsidR="00ED38BC" w:rsidRDefault="006903B1">
      <w:r>
        <w:t xml:space="preserve">               Ing. Pavel </w:t>
      </w:r>
      <w:proofErr w:type="spellStart"/>
      <w:r>
        <w:t>Rödl</w:t>
      </w:r>
      <w:proofErr w:type="spellEnd"/>
      <w:r>
        <w:t>                                          Ing. Petr Náhlík</w:t>
      </w:r>
    </w:p>
    <w:p w:rsidR="00ED38BC" w:rsidRDefault="006903B1">
      <w:r>
        <w:t> </w:t>
      </w:r>
    </w:p>
    <w:p w:rsidR="00ED38BC" w:rsidRDefault="006903B1">
      <w:r>
        <w:t xml:space="preserve">             primátor města Plzně                                   náměstek primátora </w:t>
      </w:r>
    </w:p>
    <w:p w:rsidR="00203FD7" w:rsidRDefault="00203FD7">
      <w:r>
        <w:br w:type="page"/>
      </w:r>
    </w:p>
    <w:p w:rsidR="00203FD7" w:rsidRDefault="00203FD7">
      <w:r>
        <w:lastRenderedPageBreak/>
        <w:t>Příloha č.1</w:t>
      </w:r>
    </w:p>
    <w:p w:rsidR="00203FD7" w:rsidRDefault="00203FD7">
      <w:r>
        <w:rPr>
          <w:noProof/>
        </w:rPr>
        <w:drawing>
          <wp:inline distT="0" distB="0" distL="0" distR="0">
            <wp:extent cx="5753100" cy="6124575"/>
            <wp:effectExtent l="0" t="0" r="0" b="9525"/>
            <wp:docPr id="4" name="Obrázek 4" descr="Q:\inetpub\wwwhosts\aplikace.plzen.eu\vyhlasky\files\273_Příloh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inetpub\wwwhosts\aplikace.plzen.eu\vyhlasky\files\273_Příloha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FD7" w:rsidRDefault="00203FD7">
      <w:r>
        <w:t>Příloha č.2</w:t>
      </w:r>
    </w:p>
    <w:p w:rsidR="00203FD7" w:rsidRDefault="00203FD7">
      <w:r>
        <w:rPr>
          <w:noProof/>
        </w:rPr>
        <w:lastRenderedPageBreak/>
        <w:drawing>
          <wp:inline distT="0" distB="0" distL="0" distR="0">
            <wp:extent cx="5753100" cy="4200525"/>
            <wp:effectExtent l="0" t="0" r="0" b="9525"/>
            <wp:docPr id="3" name="Obrázek 3" descr="Q:\inetpub\wwwhosts\aplikace.plzen.eu\vyhlasky\files\274_Příloh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inetpub\wwwhosts\aplikace.plzen.eu\vyhlasky\files\274_Příloha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FD7" w:rsidRDefault="00203FD7">
      <w:r>
        <w:t>Příloha č.3</w:t>
      </w:r>
    </w:p>
    <w:p w:rsidR="00203FD7" w:rsidRDefault="00203FD7">
      <w:r>
        <w:rPr>
          <w:noProof/>
        </w:rPr>
        <w:drawing>
          <wp:inline distT="0" distB="0" distL="0" distR="0">
            <wp:extent cx="5753100" cy="4105275"/>
            <wp:effectExtent l="0" t="0" r="0" b="9525"/>
            <wp:docPr id="1" name="Obrázek 1" descr="Q:\inetpub\wwwhosts\aplikace.plzen.eu\vyhlasky\files\274_Příloh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inetpub\wwwhosts\aplikace.plzen.eu\vyhlasky\files\274_Příloha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3F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3B1"/>
    <w:rsid w:val="001E593C"/>
    <w:rsid w:val="00203FD7"/>
    <w:rsid w:val="006903B1"/>
    <w:rsid w:val="00ED3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9B504D2-DC7D-4400-8E06-0A85D696E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eastAsiaTheme="minorEastAsia"/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pPr>
      <w:keepNext/>
      <w:jc w:val="center"/>
      <w:outlineLvl w:val="0"/>
    </w:pPr>
    <w:rPr>
      <w:b/>
      <w:bCs/>
      <w:kern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kladntext">
    <w:name w:val="Body Text"/>
    <w:basedOn w:val="Normln"/>
    <w:link w:val="ZkladntextChar"/>
    <w:uiPriority w:val="99"/>
    <w:semiHidden/>
    <w:unhideWhenUsed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eastAsiaTheme="minorEastAsia"/>
      <w:sz w:val="24"/>
      <w:szCs w:val="24"/>
    </w:rPr>
  </w:style>
  <w:style w:type="paragraph" w:styleId="Zkladntext2">
    <w:name w:val="Body Text 2"/>
    <w:basedOn w:val="Normln"/>
    <w:link w:val="Zkladntext2Char"/>
    <w:uiPriority w:val="99"/>
    <w:semiHidden/>
    <w:unhideWhenUsed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rPr>
      <w:rFonts w:eastAsiaTheme="minorEastAsia"/>
      <w:sz w:val="24"/>
      <w:szCs w:val="24"/>
    </w:rPr>
  </w:style>
  <w:style w:type="paragraph" w:styleId="Zkladntext3">
    <w:name w:val="Body Text 3"/>
    <w:basedOn w:val="Normln"/>
    <w:link w:val="Zkladntext3Char"/>
    <w:uiPriority w:val="99"/>
    <w:semiHidden/>
    <w:unhideWhenUsed/>
    <w:pPr>
      <w:jc w:val="both"/>
    </w:pPr>
  </w:style>
  <w:style w:type="character" w:customStyle="1" w:styleId="Zkladntext3Char">
    <w:name w:val="Základní text 3 Char"/>
    <w:basedOn w:val="Standardnpsmoodstavce"/>
    <w:link w:val="Zkladntext3"/>
    <w:uiPriority w:val="99"/>
    <w:semiHidden/>
    <w:rPr>
      <w:rFonts w:eastAsiaTheme="minorEastAsia"/>
      <w:sz w:val="16"/>
      <w:szCs w:val="16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Pr>
      <w:rFonts w:ascii="Tahoma" w:eastAsiaTheme="minorEastAsi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03FD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3FD7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unicode"/>
  <w:optimizeForBrowser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470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Homola Dušan</dc:creator>
  <cp:keywords/>
  <dc:description/>
  <cp:lastModifiedBy>Jirková Michaela</cp:lastModifiedBy>
  <cp:revision>2</cp:revision>
  <dcterms:created xsi:type="dcterms:W3CDTF">2023-02-24T08:53:00Z</dcterms:created>
  <dcterms:modified xsi:type="dcterms:W3CDTF">2023-02-24T08:53:00Z</dcterms:modified>
</cp:coreProperties>
</file>