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CE31" w14:textId="77777777" w:rsidR="00E15881" w:rsidRDefault="00E15881">
      <w:pPr>
        <w:pStyle w:val="Styl"/>
        <w:rPr>
          <w:sz w:val="2"/>
          <w:szCs w:val="2"/>
        </w:rPr>
      </w:pPr>
    </w:p>
    <w:p w14:paraId="5C83F5FE" w14:textId="77777777" w:rsidR="00E15881" w:rsidRDefault="00E15881">
      <w:pPr>
        <w:pStyle w:val="Styl"/>
        <w:framePr w:w="9442" w:h="346" w:wrap="auto" w:hAnchor="margin" w:x="788" w:y="1"/>
        <w:tabs>
          <w:tab w:val="left" w:pos="687"/>
        </w:tabs>
        <w:spacing w:before="5" w:line="168" w:lineRule="exact"/>
        <w:ind w:left="643" w:right="8578" w:hanging="643"/>
        <w:rPr>
          <w:rFonts w:ascii="Arial" w:hAnsi="Arial" w:cs="Arial"/>
          <w:w w:val="76"/>
          <w:sz w:val="26"/>
          <w:szCs w:val="26"/>
        </w:rPr>
      </w:pPr>
      <w:r>
        <w:rPr>
          <w:w w:val="50"/>
          <w:sz w:val="17"/>
          <w:szCs w:val="17"/>
        </w:rPr>
        <w:t xml:space="preserve">... </w:t>
      </w:r>
      <w:r>
        <w:rPr>
          <w:w w:val="50"/>
          <w:sz w:val="17"/>
          <w:szCs w:val="17"/>
        </w:rPr>
        <w:tab/>
      </w:r>
      <w:r>
        <w:rPr>
          <w:w w:val="50"/>
          <w:sz w:val="9"/>
          <w:szCs w:val="9"/>
        </w:rPr>
        <w:t xml:space="preserve">,;:,.,. </w:t>
      </w:r>
      <w:r>
        <w:rPr>
          <w:rFonts w:ascii="Arial" w:hAnsi="Arial" w:cs="Arial"/>
          <w:w w:val="87"/>
          <w:sz w:val="36"/>
          <w:szCs w:val="36"/>
        </w:rPr>
        <w:t xml:space="preserve">. </w:t>
      </w:r>
      <w:r>
        <w:rPr>
          <w:rFonts w:ascii="Arial" w:hAnsi="Arial" w:cs="Arial"/>
          <w:w w:val="76"/>
          <w:sz w:val="26"/>
          <w:szCs w:val="26"/>
        </w:rPr>
        <w:t xml:space="preserve">,· </w:t>
      </w:r>
    </w:p>
    <w:p w14:paraId="4D80FEAB" w14:textId="77777777" w:rsidR="00E15881" w:rsidRDefault="00E15881">
      <w:pPr>
        <w:pStyle w:val="Styl"/>
        <w:framePr w:w="8976" w:h="269" w:wrap="auto" w:hAnchor="margin" w:x="1254" w:y="1014"/>
        <w:spacing w:line="259" w:lineRule="exact"/>
        <w:ind w:left="5899"/>
        <w:rPr>
          <w:sz w:val="23"/>
          <w:szCs w:val="23"/>
        </w:rPr>
      </w:pPr>
      <w:r>
        <w:rPr>
          <w:sz w:val="23"/>
          <w:szCs w:val="23"/>
        </w:rPr>
        <w:t>Příloha č. 1 k OZV č.2/200</w:t>
      </w:r>
      <w:r w:rsidR="0067352D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14:paraId="68B6C773" w14:textId="77777777" w:rsidR="00E15881" w:rsidRDefault="00E15881">
      <w:pPr>
        <w:pStyle w:val="Styl"/>
        <w:framePr w:w="8986" w:h="3624" w:wrap="auto" w:hAnchor="margin" w:x="1254" w:y="1815"/>
        <w:spacing w:before="19" w:line="254" w:lineRule="exact"/>
        <w:ind w:left="2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Některé podrobnosti, které uplatní organizátor akce při zřizování požární hlídky a stanovení jejích úkolů </w:t>
      </w:r>
    </w:p>
    <w:p w14:paraId="470E851B" w14:textId="77777777" w:rsidR="00E15881" w:rsidRDefault="00E15881">
      <w:pPr>
        <w:pStyle w:val="Styl"/>
        <w:framePr w:w="8986" w:h="3624" w:wrap="auto" w:hAnchor="margin" w:x="1254" w:y="1815"/>
        <w:spacing w:line="557" w:lineRule="exact"/>
        <w:ind w:left="24"/>
        <w:rPr>
          <w:sz w:val="23"/>
          <w:szCs w:val="23"/>
        </w:rPr>
      </w:pPr>
      <w:r>
        <w:rPr>
          <w:sz w:val="23"/>
          <w:szCs w:val="23"/>
        </w:rPr>
        <w:t xml:space="preserve">1. Podrobnosti ke zřizování požární hlídky </w:t>
      </w:r>
    </w:p>
    <w:p w14:paraId="13154017" w14:textId="77777777" w:rsidR="00E15881" w:rsidRDefault="00E15881">
      <w:pPr>
        <w:pStyle w:val="Styl"/>
        <w:framePr w:w="8986" w:h="3624" w:wrap="auto" w:hAnchor="margin" w:x="1254" w:y="1815"/>
        <w:spacing w:before="307" w:line="269" w:lineRule="exact"/>
        <w:ind w:left="5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složení požární hlídky z nižšího počtu osob než je stanoveno v </w:t>
      </w:r>
      <w:r>
        <w:rPr>
          <w:sz w:val="25"/>
          <w:szCs w:val="25"/>
        </w:rPr>
        <w:t xml:space="preserve">§ </w:t>
      </w:r>
      <w:r>
        <w:rPr>
          <w:sz w:val="23"/>
          <w:szCs w:val="23"/>
        </w:rPr>
        <w:t xml:space="preserve">3 odst. 7 nebo z jedné osoby je možné pouze v případech, kdy veškeré povinnosti určené požární hlídce mohou být zajištěny tímto sníženým počtem osob zařazených do požární hlídky, </w:t>
      </w:r>
    </w:p>
    <w:p w14:paraId="31487FAF" w14:textId="77777777" w:rsidR="00E15881" w:rsidRDefault="00E15881">
      <w:pPr>
        <w:pStyle w:val="Styl"/>
        <w:framePr w:w="8986" w:h="3624" w:wrap="auto" w:hAnchor="margin" w:x="1254" w:y="1815"/>
        <w:spacing w:before="307" w:line="269" w:lineRule="exact"/>
        <w:ind w:left="5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vyšší počet osob v požární hlídce, resp. větší počet požárních hlídek se zřizuje s ohledem na počet účastníků akce a na konkrétní podmínky pro evakuaci osob a zahájení hasebních prací, např. s ohledem na rozlehlost místa konání akce, počet účastníků, členitost únikových komunikací, </w:t>
      </w:r>
    </w:p>
    <w:p w14:paraId="4557216F" w14:textId="77777777" w:rsidR="00E15881" w:rsidRDefault="00E15881">
      <w:pPr>
        <w:pStyle w:val="Styl"/>
        <w:framePr w:w="8976" w:h="3931" w:wrap="auto" w:hAnchor="margin" w:x="1254" w:y="5703"/>
        <w:spacing w:line="274" w:lineRule="exact"/>
        <w:ind w:lef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do požární hlídky mohou být zařazeny osoby starší 18 let, které musí být tělesně a duševně zdatné pro plnění stanovených úkolů (zejména se zřetelem na předpokládané zajišťování evakuace osob se </w:t>
      </w:r>
      <w:r>
        <w:rPr>
          <w:sz w:val="23"/>
          <w:szCs w:val="23"/>
          <w:u w:val="single"/>
        </w:rPr>
        <w:t>doporučuje</w:t>
      </w:r>
      <w:r>
        <w:rPr>
          <w:sz w:val="23"/>
          <w:szCs w:val="23"/>
        </w:rPr>
        <w:t xml:space="preserve"> u osob starších 62 let vyžádání stanoviska ošetřujícího lékaře ke zdravotnímu stavu), </w:t>
      </w:r>
    </w:p>
    <w:p w14:paraId="3AAA7664" w14:textId="77777777" w:rsidR="00E15881" w:rsidRDefault="00E15881">
      <w:pPr>
        <w:pStyle w:val="Styl"/>
        <w:framePr w:w="8976" w:h="3931" w:wrap="auto" w:hAnchor="margin" w:x="1254" w:y="5703"/>
        <w:spacing w:before="264" w:line="293" w:lineRule="exact"/>
        <w:ind w:left="10" w:right="264"/>
        <w:rPr>
          <w:sz w:val="23"/>
          <w:szCs w:val="23"/>
        </w:rPr>
      </w:pPr>
      <w:r>
        <w:rPr>
          <w:sz w:val="23"/>
          <w:szCs w:val="23"/>
        </w:rPr>
        <w:t xml:space="preserve">d).členové požární hlídky nesmí nastupovat k výkonu činnosti v požární hlídce pod vlivem alkoholu nebo jiných omamných látek ani tyto požívat během výkonu činnosti, </w:t>
      </w:r>
      <w:r>
        <w:rPr>
          <w:sz w:val="23"/>
          <w:szCs w:val="23"/>
          <w:vertAlign w:val="superscript"/>
        </w:rPr>
        <w:t>17</w:t>
      </w:r>
      <w:r>
        <w:rPr>
          <w:sz w:val="23"/>
          <w:szCs w:val="23"/>
        </w:rPr>
        <w:t xml:space="preserve">) </w:t>
      </w:r>
    </w:p>
    <w:p w14:paraId="388CB6B7" w14:textId="77777777" w:rsidR="00E15881" w:rsidRDefault="00E15881">
      <w:pPr>
        <w:pStyle w:val="Styl"/>
        <w:framePr w:w="8976" w:h="3931" w:wrap="auto" w:hAnchor="margin" w:x="1254" w:y="5703"/>
        <w:spacing w:before="307" w:line="269" w:lineRule="exact"/>
        <w:ind w:left="5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velitel i členové požární hlídky musí být při akcích viditelně označeni rukávovou páskou (nebo jiným vhodným způsobem) s nápisem „POŽÁRNÍ HLÍDKA" (doporučen je červený podklad s černým nebo bílým nápisem), </w:t>
      </w:r>
    </w:p>
    <w:p w14:paraId="094A62E6" w14:textId="77777777" w:rsidR="00E15881" w:rsidRDefault="00E15881">
      <w:pPr>
        <w:pStyle w:val="Styl"/>
        <w:framePr w:w="8976" w:h="3931" w:wrap="auto" w:hAnchor="margin" w:x="1254" w:y="5703"/>
        <w:spacing w:before="278" w:line="278" w:lineRule="exact"/>
        <w:ind w:left="5" w:right="5"/>
        <w:rPr>
          <w:sz w:val="23"/>
          <w:szCs w:val="23"/>
        </w:rPr>
      </w:pPr>
      <w:r>
        <w:rPr>
          <w:sz w:val="23"/>
          <w:szCs w:val="23"/>
        </w:rPr>
        <w:t xml:space="preserve">f) úkoly stanovené požární hlídce musí být uvedeny jednoznačně, konkrétním osobám a musí být součástí odborné přípravy osob zařazených do požární hlídky. </w:t>
      </w:r>
    </w:p>
    <w:p w14:paraId="05C0D1EC" w14:textId="77777777" w:rsidR="00E15881" w:rsidRDefault="00E15881">
      <w:pPr>
        <w:pStyle w:val="Styl"/>
        <w:framePr w:w="8976" w:h="4982" w:wrap="auto" w:hAnchor="margin" w:x="1254" w:y="10158"/>
        <w:spacing w:line="552" w:lineRule="exact"/>
        <w:ind w:left="5" w:right="237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Podrobnosti k úkolům požární hlídky a velitele požární hlídky 2.1 Velitel </w:t>
      </w:r>
    </w:p>
    <w:p w14:paraId="5141FF55" w14:textId="77777777" w:rsidR="00E15881" w:rsidRDefault="00E15881">
      <w:pPr>
        <w:pStyle w:val="Styl"/>
        <w:framePr w:w="8976" w:h="4982" w:wrap="auto" w:hAnchor="margin" w:x="1254" w:y="10158"/>
        <w:spacing w:line="557" w:lineRule="exact"/>
        <w:ind w:left="24"/>
        <w:rPr>
          <w:sz w:val="23"/>
          <w:szCs w:val="23"/>
        </w:rPr>
      </w:pPr>
      <w:r>
        <w:rPr>
          <w:sz w:val="23"/>
          <w:szCs w:val="23"/>
        </w:rPr>
        <w:t xml:space="preserve">a) odpovídá za plnění úkolů požární hlídky, </w:t>
      </w:r>
    </w:p>
    <w:p w14:paraId="6BED4D59" w14:textId="77777777" w:rsidR="00E15881" w:rsidRDefault="00E15881">
      <w:pPr>
        <w:pStyle w:val="Styl"/>
        <w:framePr w:w="8976" w:h="4982" w:wrap="auto" w:hAnchor="margin" w:x="1254" w:y="10158"/>
        <w:spacing w:before="307" w:line="269" w:lineRule="exact"/>
        <w:ind w:left="5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zajišťuje provedení kontrolních úkonů podle </w:t>
      </w:r>
      <w:r>
        <w:rPr>
          <w:w w:val="106"/>
        </w:rPr>
        <w:t xml:space="preserve">§ </w:t>
      </w:r>
      <w:r>
        <w:rPr>
          <w:sz w:val="23"/>
          <w:szCs w:val="23"/>
        </w:rPr>
        <w:t xml:space="preserve">3 odst. IO ve stanoveném rozsahu a určeným způsobem, provedení záznamů o jejich provedení a výsledcích (zjištěných skutečnostech), např. v požární knize nebo jiném určeném dokumentu, zajistí, aby zápis podepsali ti, kteří kontrolu provedli; záznam obsahuje vždy datum a čas, jméno/jména člena požární hlídky, stav prostoru (objektu) včetně popisu případných nedostatků a způsobu jejich odstranění, </w:t>
      </w:r>
    </w:p>
    <w:p w14:paraId="09BD37A3" w14:textId="77777777" w:rsidR="00E15881" w:rsidRDefault="00E15881">
      <w:pPr>
        <w:pStyle w:val="Styl"/>
        <w:framePr w:w="8976" w:h="4982" w:wrap="auto" w:hAnchor="margin" w:x="1254" w:y="10158"/>
        <w:spacing w:before="278" w:line="278" w:lineRule="exact"/>
        <w:ind w:left="5" w:right="5"/>
        <w:rPr>
          <w:sz w:val="23"/>
          <w:szCs w:val="23"/>
        </w:rPr>
      </w:pPr>
      <w:r>
        <w:rPr>
          <w:sz w:val="23"/>
          <w:szCs w:val="23"/>
        </w:rPr>
        <w:t xml:space="preserve">c) předkládá záznam o výsledku kontroly provedené před zahájením akce organizátorovi akce nebo jím určené osobě, což tito potvrdí svým podpisem, </w:t>
      </w:r>
    </w:p>
    <w:p w14:paraId="3B0C15B2" w14:textId="77777777" w:rsidR="00E15881" w:rsidRDefault="00E15881">
      <w:pPr>
        <w:pStyle w:val="Styl"/>
        <w:framePr w:w="8976" w:h="4982" w:wrap="auto" w:hAnchor="margin" w:x="1254" w:y="10158"/>
        <w:spacing w:before="278" w:line="278" w:lineRule="exact"/>
        <w:ind w:left="5" w:right="5"/>
        <w:rPr>
          <w:sz w:val="23"/>
          <w:szCs w:val="23"/>
        </w:rPr>
      </w:pPr>
      <w:r>
        <w:rPr>
          <w:sz w:val="23"/>
          <w:szCs w:val="23"/>
        </w:rPr>
        <w:t xml:space="preserve">d) předkládá záznam o výsledku kontroly provedené při ukončením akce organizátorovi akce nebo jím určené osobě, což tito potvrdí svým podpisem. </w:t>
      </w:r>
    </w:p>
    <w:p w14:paraId="59A93151" w14:textId="77777777" w:rsidR="00E15881" w:rsidRDefault="00E15881">
      <w:pPr>
        <w:pStyle w:val="Styl"/>
        <w:framePr w:w="8976" w:h="288" w:wrap="auto" w:hAnchor="margin" w:x="1254" w:y="15491"/>
        <w:spacing w:line="240" w:lineRule="exact"/>
        <w:ind w:left="34"/>
        <w:rPr>
          <w:w w:val="91"/>
          <w:sz w:val="20"/>
          <w:szCs w:val="20"/>
        </w:rPr>
      </w:pPr>
      <w:r>
        <w:rPr>
          <w:w w:val="91"/>
          <w:sz w:val="20"/>
          <w:szCs w:val="20"/>
        </w:rPr>
        <w:t xml:space="preserve">17 ) </w:t>
      </w:r>
      <w:r>
        <w:rPr>
          <w:sz w:val="19"/>
          <w:szCs w:val="19"/>
        </w:rPr>
        <w:t xml:space="preserve">§ </w:t>
      </w:r>
      <w:r>
        <w:rPr>
          <w:w w:val="91"/>
          <w:sz w:val="20"/>
          <w:szCs w:val="20"/>
        </w:rPr>
        <w:t xml:space="preserve">13 5 odst. 4 písm. e) Zákoníku práce </w:t>
      </w:r>
    </w:p>
    <w:p w14:paraId="4AD5E098" w14:textId="77777777" w:rsidR="00E15881" w:rsidRDefault="00E15881">
      <w:pPr>
        <w:pStyle w:val="Styl"/>
        <w:rPr>
          <w:sz w:val="20"/>
          <w:szCs w:val="20"/>
        </w:rPr>
        <w:sectPr w:rsidR="00E15881">
          <w:pgSz w:w="11900" w:h="16840"/>
          <w:pgMar w:top="373" w:right="1263" w:bottom="360" w:left="398" w:header="708" w:footer="708" w:gutter="0"/>
          <w:cols w:space="708"/>
          <w:noEndnote/>
        </w:sectPr>
      </w:pPr>
    </w:p>
    <w:p w14:paraId="0A15FDD7" w14:textId="77777777" w:rsidR="00E15881" w:rsidRDefault="00E15881">
      <w:pPr>
        <w:pStyle w:val="Styl"/>
        <w:rPr>
          <w:sz w:val="2"/>
          <w:szCs w:val="2"/>
        </w:rPr>
      </w:pPr>
    </w:p>
    <w:p w14:paraId="08B7D3B0" w14:textId="77777777" w:rsidR="00E15881" w:rsidRDefault="00E15881">
      <w:pPr>
        <w:pStyle w:val="Styl"/>
        <w:framePr w:w="9000" w:h="254" w:wrap="auto" w:hAnchor="margin" w:x="361" w:y="361"/>
        <w:spacing w:line="245" w:lineRule="exact"/>
        <w:ind w:left="5904"/>
        <w:rPr>
          <w:sz w:val="23"/>
          <w:szCs w:val="23"/>
        </w:rPr>
      </w:pPr>
      <w:r>
        <w:rPr>
          <w:sz w:val="23"/>
          <w:szCs w:val="23"/>
        </w:rPr>
        <w:t>Příloha č. 2 k OZV č.2/200</w:t>
      </w:r>
      <w:r w:rsidR="0067352D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14:paraId="0F40AB5B" w14:textId="77777777" w:rsidR="00E15881" w:rsidRDefault="00E15881">
      <w:pPr>
        <w:pStyle w:val="Styl"/>
        <w:framePr w:w="9000" w:h="4474" w:wrap="auto" w:hAnchor="margin" w:x="361" w:y="1182"/>
        <w:spacing w:line="557" w:lineRule="exact"/>
        <w:ind w:left="19" w:right="210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Podrobnosti k provádění kontrol podle </w:t>
      </w:r>
      <w:r>
        <w:rPr>
          <w:rFonts w:ascii="Arial" w:hAnsi="Arial" w:cs="Arial"/>
          <w:sz w:val="21"/>
          <w:szCs w:val="21"/>
        </w:rPr>
        <w:t xml:space="preserve">§ </w:t>
      </w:r>
      <w:r>
        <w:rPr>
          <w:b/>
          <w:bCs/>
          <w:sz w:val="23"/>
          <w:szCs w:val="23"/>
        </w:rPr>
        <w:t xml:space="preserve">3 odst. 10) tohoto nařízení </w:t>
      </w:r>
      <w:r>
        <w:rPr>
          <w:sz w:val="23"/>
          <w:szCs w:val="23"/>
        </w:rPr>
        <w:t xml:space="preserve">Kontrola plnění podmínek požární bezpečnosti pro akci se provádí </w:t>
      </w:r>
    </w:p>
    <w:p w14:paraId="3EFA802D" w14:textId="77777777" w:rsidR="00E15881" w:rsidRDefault="00E15881">
      <w:pPr>
        <w:pStyle w:val="Styl"/>
        <w:framePr w:w="9000" w:h="4474" w:wrap="auto" w:hAnchor="margin" w:x="361" w:y="1182"/>
        <w:spacing w:line="552" w:lineRule="exact"/>
        <w:ind w:left="29"/>
        <w:rPr>
          <w:sz w:val="23"/>
          <w:szCs w:val="23"/>
        </w:rPr>
      </w:pPr>
      <w:r>
        <w:rPr>
          <w:sz w:val="23"/>
          <w:szCs w:val="23"/>
        </w:rPr>
        <w:t xml:space="preserve">a) před zahájením akce </w:t>
      </w:r>
    </w:p>
    <w:p w14:paraId="2B140814" w14:textId="77777777" w:rsidR="00E15881" w:rsidRDefault="00E15881">
      <w:pPr>
        <w:pStyle w:val="Styl"/>
        <w:framePr w:w="9000" w:h="4474" w:wrap="auto" w:hAnchor="margin" w:x="361" w:y="1182"/>
        <w:spacing w:before="283" w:line="274" w:lineRule="exact"/>
        <w:ind w:left="14" w:right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v souladu s předpisy o požární ochraně, a to osobou odborně způsobilou (§ 5, 6 a 11 zákona o požární ochraně a§ 12 vyhlášky o požární prevenci); jedná se zejména o pravidelné kontroly dodržování předpisů o požární ochraně formou preventivních požárních prohlídek, jejichž součástí je prověřování dokladů o plnění povinností stanovených předpisy o požární ochraně, </w:t>
      </w:r>
    </w:p>
    <w:p w14:paraId="3A86B6EA" w14:textId="77777777" w:rsidR="00E15881" w:rsidRDefault="00E15881">
      <w:pPr>
        <w:pStyle w:val="Styl"/>
        <w:framePr w:w="9000" w:h="4474" w:wrap="auto" w:hAnchor="margin" w:x="361" w:y="1182"/>
        <w:spacing w:line="278" w:lineRule="exact"/>
        <w:ind w:left="24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 rozsahu úkolů stanovených organizátorem požární hlídce pro konkrétní akci, např. stav únikových cest a únikových východů včetně jejich označení, stav příjezdových komunikací a nástupních ploch, kontrola rozmístění hasicích přístrojů, úplnost vybavení hydrantových systémů, úplnost označení příslušnými bezpečnostními tabulkami, příkazy, zákazy a pokyny ve vztahu k požární ochraně. </w:t>
      </w:r>
    </w:p>
    <w:p w14:paraId="5D240C11" w14:textId="77777777" w:rsidR="00E15881" w:rsidRDefault="00E15881">
      <w:pPr>
        <w:pStyle w:val="Styl"/>
        <w:framePr w:w="9005" w:h="4186" w:wrap="auto" w:hAnchor="margin" w:x="361" w:y="5901"/>
        <w:spacing w:line="254" w:lineRule="exact"/>
        <w:ind w:left="24"/>
        <w:rPr>
          <w:sz w:val="23"/>
          <w:szCs w:val="23"/>
        </w:rPr>
      </w:pPr>
      <w:r>
        <w:rPr>
          <w:sz w:val="23"/>
          <w:szCs w:val="23"/>
        </w:rPr>
        <w:t xml:space="preserve">b) v průběhu akce </w:t>
      </w:r>
    </w:p>
    <w:p w14:paraId="4AEFD8F1" w14:textId="77777777" w:rsidR="00E15881" w:rsidRDefault="00E15881">
      <w:pPr>
        <w:pStyle w:val="Styl"/>
        <w:framePr w:w="9005" w:h="4186" w:wrap="auto" w:hAnchor="margin" w:x="361" w:y="5901"/>
        <w:spacing w:before="283" w:line="274" w:lineRule="exact"/>
        <w:ind w:left="14" w:right="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 provádění kontrol musí být stanoveny konkrétní postupy s ohledem na druh a rozsah akce a odpovědnosti pro zajištění odstraňování případných nedostatků v zabezpečení požární ochrany zjištěných kontrolou v průběhu akce (např. bude-li zjištěno zaparkované vozidlo před únikovým východem nebo na příjezdové komunikaci musí být zajištěno jeho přeparkování nebo odtah vozidla), </w:t>
      </w:r>
    </w:p>
    <w:p w14:paraId="6E627D8C" w14:textId="77777777" w:rsidR="00E15881" w:rsidRDefault="00E15881">
      <w:pPr>
        <w:pStyle w:val="Styl"/>
        <w:framePr w:w="9005" w:h="4186" w:wrap="auto" w:hAnchor="margin" w:x="361" w:y="5901"/>
        <w:spacing w:line="278" w:lineRule="exact"/>
        <w:ind w:left="24" w:right="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 případě, že v průběhu akce nastane situace, která vyvolává bezprostřední nebezpečí vzniku požáru a k odstranění tohoto nebezpečí nestačí jiná opatření nebo je-li zjištěno, že by v případě vzniku požáru byla ohrožena nebo znemožněna záchrana osob nebo majetku, organizátor akce organizačně zabezpečí možnost jejího přerušení nebo ukončení tak, aby nenastalo nebezpečí z prodlení. </w:t>
      </w:r>
    </w:p>
    <w:p w14:paraId="5377688E" w14:textId="77777777" w:rsidR="00E15881" w:rsidRDefault="00E15881">
      <w:pPr>
        <w:pStyle w:val="Styl"/>
        <w:framePr w:w="9005" w:h="4186" w:wrap="auto" w:hAnchor="margin" w:x="361" w:y="5901"/>
        <w:spacing w:before="259" w:line="283" w:lineRule="exact"/>
        <w:ind w:left="34" w:right="5"/>
        <w:rPr>
          <w:sz w:val="23"/>
          <w:szCs w:val="23"/>
        </w:rPr>
      </w:pPr>
      <w:r>
        <w:rPr>
          <w:sz w:val="23"/>
          <w:szCs w:val="23"/>
        </w:rPr>
        <w:t xml:space="preserve">Poznámka: Záznam o případných zjištěních provést jako součást záznamu o kontrole při ukončení akce. </w:t>
      </w:r>
    </w:p>
    <w:p w14:paraId="26F303CD" w14:textId="77777777" w:rsidR="00E15881" w:rsidRDefault="00E15881">
      <w:pPr>
        <w:pStyle w:val="Styl"/>
        <w:rPr>
          <w:sz w:val="23"/>
          <w:szCs w:val="23"/>
        </w:rPr>
        <w:sectPr w:rsidR="00E15881">
          <w:pgSz w:w="11900" w:h="16840"/>
          <w:pgMar w:top="950" w:right="1623" w:bottom="360" w:left="912" w:header="708" w:footer="708" w:gutter="0"/>
          <w:cols w:space="708"/>
          <w:noEndnote/>
        </w:sectPr>
      </w:pPr>
    </w:p>
    <w:p w14:paraId="53E59EBF" w14:textId="77777777" w:rsidR="00E15881" w:rsidRDefault="00E15881">
      <w:pPr>
        <w:pStyle w:val="Styl"/>
        <w:rPr>
          <w:sz w:val="2"/>
          <w:szCs w:val="2"/>
        </w:rPr>
      </w:pPr>
    </w:p>
    <w:p w14:paraId="2B07E5F9" w14:textId="77777777" w:rsidR="00E15881" w:rsidRDefault="00E15881">
      <w:pPr>
        <w:pStyle w:val="Styl"/>
        <w:framePr w:w="9754" w:h="298" w:wrap="auto" w:hAnchor="margin" w:x="361" w:y="1"/>
        <w:spacing w:before="130" w:line="72" w:lineRule="exact"/>
        <w:ind w:left="350" w:right="9355" w:hanging="350"/>
        <w:rPr>
          <w:w w:val="200"/>
          <w:sz w:val="15"/>
          <w:szCs w:val="15"/>
        </w:rPr>
      </w:pPr>
      <w:r>
        <w:rPr>
          <w:w w:val="181"/>
          <w:sz w:val="19"/>
          <w:szCs w:val="19"/>
        </w:rPr>
        <w:t xml:space="preserve">, </w:t>
      </w:r>
      <w:r>
        <w:rPr>
          <w:w w:val="200"/>
          <w:sz w:val="15"/>
          <w:szCs w:val="15"/>
        </w:rPr>
        <w:t xml:space="preserve">, </w:t>
      </w:r>
    </w:p>
    <w:p w14:paraId="690E3A1A" w14:textId="77777777" w:rsidR="00E15881" w:rsidRDefault="00E15881">
      <w:pPr>
        <w:pStyle w:val="Styl"/>
        <w:framePr w:w="9754" w:h="259" w:wrap="auto" w:hAnchor="margin" w:x="361" w:y="1071"/>
        <w:spacing w:line="254" w:lineRule="exact"/>
        <w:ind w:left="6125"/>
        <w:rPr>
          <w:sz w:val="23"/>
          <w:szCs w:val="23"/>
        </w:rPr>
      </w:pPr>
      <w:r>
        <w:rPr>
          <w:sz w:val="23"/>
          <w:szCs w:val="23"/>
        </w:rPr>
        <w:t>Příloha č. 3 k OZV č.2/2002</w:t>
      </w:r>
      <w:r w:rsidR="0067352D">
        <w:rPr>
          <w:sz w:val="23"/>
          <w:szCs w:val="23"/>
        </w:rPr>
        <w:t>4</w:t>
      </w:r>
    </w:p>
    <w:p w14:paraId="61D7DD92" w14:textId="77777777" w:rsidR="00E15881" w:rsidRDefault="00E15881">
      <w:pPr>
        <w:pStyle w:val="Styl"/>
        <w:framePr w:w="9754" w:h="6974" w:wrap="auto" w:hAnchor="margin" w:x="361" w:y="1882"/>
        <w:spacing w:line="274" w:lineRule="exact"/>
        <w:ind w:left="78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Obsah identifikační karty prostoru (stavby) pro akce podle§ 3 odst. 2 tohoto nařízení: </w:t>
      </w:r>
    </w:p>
    <w:p w14:paraId="315C19FC" w14:textId="77777777" w:rsidR="00E15881" w:rsidRDefault="00E15881">
      <w:pPr>
        <w:pStyle w:val="Styl"/>
        <w:framePr w:w="9754" w:h="6974" w:wrap="auto" w:hAnchor="margin" w:x="361" w:y="1882"/>
        <w:spacing w:before="274" w:line="274" w:lineRule="exact"/>
        <w:ind w:left="7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Není-li pro prostor (stavbu) v dokumentaci ověřené stavebním úřadem stanovena horní hranice počtu osob, které se mohou současně v tomto prostoru vyskytovat, zajistí organizátor akce v rámci stanovení rozsahu a způsobu zabezpečení požární ochrany akce ( viz § 3 odst. 5 tohoto nařízení) zpracování identifikační karty prostoru (stavby), která bude obsahovat minimálně tyto údaje : </w:t>
      </w:r>
    </w:p>
    <w:p w14:paraId="355D9A43" w14:textId="77777777" w:rsidR="00E15881" w:rsidRDefault="00E15881">
      <w:pPr>
        <w:pStyle w:val="Styl"/>
        <w:framePr w:w="9754" w:h="6974" w:wrap="auto" w:hAnchor="margin" w:x="361" w:y="1882"/>
        <w:spacing w:before="10" w:line="278" w:lineRule="exact"/>
        <w:ind w:left="1133" w:right="3250"/>
        <w:rPr>
          <w:sz w:val="23"/>
          <w:szCs w:val="23"/>
        </w:rPr>
      </w:pPr>
      <w:r>
        <w:rPr>
          <w:sz w:val="23"/>
          <w:szCs w:val="23"/>
        </w:rPr>
        <w:t xml:space="preserve">velikost - využitelná plocha prostoru pro pořádání akce, stanovení horní hranice počtu zúčastněných osob, způsob a postup vyhlášení požárního poplachu, </w:t>
      </w:r>
    </w:p>
    <w:p w14:paraId="62F3BB47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způsob zajištění evakuace (přesné určení kdo, jakým způsobem oznámí nutnost evakuace včetně určených únikových komunikací a východů atd.), pomoci při zdolávání požáru, počet, situování, kapacita (šířky) únikových komunikací a východů včetně pokynů </w:t>
      </w:r>
    </w:p>
    <w:p w14:paraId="3B6482D0" w14:textId="77777777" w:rsidR="00E15881" w:rsidRDefault="00E15881" w:rsidP="0067352D">
      <w:pPr>
        <w:pStyle w:val="Styl"/>
        <w:framePr w:w="9754" w:h="6974" w:wrap="auto" w:hAnchor="margin" w:x="361" w:y="1882"/>
        <w:spacing w:line="264" w:lineRule="exact"/>
        <w:ind w:left="408" w:firstLine="720"/>
        <w:rPr>
          <w:sz w:val="23"/>
          <w:szCs w:val="23"/>
        </w:rPr>
      </w:pPr>
      <w:r>
        <w:rPr>
          <w:sz w:val="23"/>
          <w:szCs w:val="23"/>
        </w:rPr>
        <w:t xml:space="preserve">k zabezpečení jejich trvalé provozuschopnosti , </w:t>
      </w:r>
    </w:p>
    <w:p w14:paraId="19FB2E3F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rozmístění, typ (D25, C 52) vnitřního hydrantového systému; umístění a vzdálenost venkovních hydrantů, </w:t>
      </w:r>
    </w:p>
    <w:p w14:paraId="5429E1B4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počet, druh a rozmístění přenosných hasících přístrojů, </w:t>
      </w:r>
    </w:p>
    <w:p w14:paraId="65C4A6C8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informace o dalších věcných prostředcích požární ochrany a požárně bezpečnostních zařízeních jsou-li v objektu/prostoru instalovány, </w:t>
      </w:r>
    </w:p>
    <w:p w14:paraId="443F322E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umístění uzávěru vody, plynu, topení, rozvodných zařízení elektrické energie, jejich označení včetně přístupu k nim, </w:t>
      </w:r>
    </w:p>
    <w:p w14:paraId="4774DB4A" w14:textId="77777777" w:rsidR="00E15881" w:rsidRDefault="00E15881">
      <w:pPr>
        <w:pStyle w:val="Styl"/>
        <w:framePr w:w="9754" w:h="6974" w:wrap="auto" w:hAnchor="margin" w:x="361" w:y="1882"/>
        <w:spacing w:before="10" w:line="274" w:lineRule="exact"/>
        <w:ind w:left="1128" w:right="10"/>
        <w:rPr>
          <w:sz w:val="23"/>
          <w:szCs w:val="23"/>
        </w:rPr>
      </w:pPr>
      <w:r>
        <w:rPr>
          <w:sz w:val="23"/>
          <w:szCs w:val="23"/>
        </w:rPr>
        <w:t xml:space="preserve">seznam a rozmístění použitých výstražných a informačních tabulek. </w:t>
      </w:r>
    </w:p>
    <w:p w14:paraId="690D71C8" w14:textId="77777777" w:rsidR="00E15881" w:rsidRDefault="00E15881">
      <w:pPr>
        <w:pStyle w:val="Styl"/>
        <w:framePr w:w="9754" w:h="6974" w:wrap="auto" w:hAnchor="margin" w:x="361" w:y="1882"/>
        <w:spacing w:before="278" w:line="274" w:lineRule="exact"/>
        <w:ind w:left="763" w:right="24"/>
        <w:rPr>
          <w:sz w:val="23"/>
          <w:szCs w:val="23"/>
        </w:rPr>
      </w:pPr>
      <w:r>
        <w:rPr>
          <w:sz w:val="23"/>
          <w:szCs w:val="23"/>
        </w:rPr>
        <w:t xml:space="preserve">Identifikační karta musí být trvale k dispozici pro potřeby požární hlídky a seznámení s jejím obsahem musí být součástí odborné přípravy požární hlídky. </w:t>
      </w:r>
    </w:p>
    <w:sectPr w:rsidR="00E15881">
      <w:pgSz w:w="11900" w:h="16840"/>
      <w:pgMar w:top="720" w:right="1138" w:bottom="360" w:left="64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52725435">
    <w:abstractNumId w:val="0"/>
    <w:lvlOverride w:ilvl="0">
      <w:lvl w:ilvl="0">
        <w:numFmt w:val="bullet"/>
        <w:lvlText w:val="�"/>
        <w:legacy w:legacy="1" w:legacySpace="0" w:legacyIndent="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30661C"/>
    <w:rsid w:val="0067352D"/>
    <w:rsid w:val="00E1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77A78"/>
  <w14:defaultImageDpi w14:val="0"/>
  <w15:docId w15:val="{0C885022-4AE2-4B52-A771-56ED466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Radek Novotný</dc:creator>
  <cp:keywords/>
  <dc:description/>
  <cp:lastModifiedBy>Ing. Radek Novotný</cp:lastModifiedBy>
  <cp:revision>2</cp:revision>
  <dcterms:created xsi:type="dcterms:W3CDTF">2023-05-29T08:36:00Z</dcterms:created>
  <dcterms:modified xsi:type="dcterms:W3CDTF">2023-05-29T08:36:00Z</dcterms:modified>
</cp:coreProperties>
</file>