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12" w:lineRule="auto"/>
        <w:ind/>
        <w:jc w:val="center"/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pPr>
      <w:r>
        <w:rPr>
          <w:rFonts w:ascii="Arial" w:hAnsi="Arial" w:eastAsia="Times New Roman" w:cs="Arial"/>
          <w:b/>
          <w:caps/>
          <w:sz w:val="48"/>
          <w:szCs w:val="48"/>
          <w:lang w:eastAsia="cs-CZ"/>
        </w:rPr>
        <w:t xml:space="preserve">OBEC </w:t>
      </w:r>
      <w:r>
        <w:rPr>
          <w:rFonts w:ascii="Arial" w:hAnsi="Arial" w:eastAsia="Times New Roman" w:cs="Arial"/>
          <w:b/>
          <w:caps/>
          <w:sz w:val="48"/>
          <w:szCs w:val="48"/>
          <w:lang w:eastAsia="cs-CZ"/>
        </w:rPr>
        <w:t xml:space="preserve">Důl</w:t>
      </w:r>
      <w:r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r>
      <w:r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</w:p>
    <w:p>
      <w:pPr>
        <w:pBdr/>
        <w:spacing w:after="0" w:line="312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Zastupitelstvo obce Důl 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  <w:t xml:space="preserve">Obecně závazná vyhláška obce Důl č.1/2025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  <w:t xml:space="preserve">o stanovení obecního systému odpadového hospodářství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bCs/>
          <w:sz w:val="24"/>
          <w:lang w:eastAsia="cs-CZ"/>
        </w:rPr>
      </w:pPr>
      <w:r>
        <w:rPr>
          <w:rFonts w:ascii="Arial" w:hAnsi="Arial" w:eastAsia="Times New Roman" w:cs="Arial"/>
          <w:bCs/>
          <w:sz w:val="24"/>
          <w:lang w:eastAsia="cs-CZ"/>
        </w:rPr>
        <w:t xml:space="preserve">Zastupitelstvo obce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Důl se na svém zasedání dne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19.2.2025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usnesením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č.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z1 /2025/u2 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usneslo vydat na základě §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59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odst.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4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zákona č.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541/2020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Sb., o odpadech (dále jen „zákon o odpadech“), a v souladu s § 10 písm. d) a § 84 odst. 2 písm. h) zákona č.128/2000 Sb., o obcích (obecní zřízení), ve znění pozdějších předpisů, tuto obecně závaznou vyhlášku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(dále jen „vyhláška“):</w:t>
      </w:r>
      <w:r>
        <w:rPr>
          <w:rFonts w:ascii="Arial" w:hAnsi="Arial" w:eastAsia="Times New Roman" w:cs="Arial"/>
          <w:bCs/>
          <w:sz w:val="24"/>
          <w:lang w:eastAsia="cs-CZ"/>
        </w:rPr>
      </w:r>
      <w:r>
        <w:rPr>
          <w:rFonts w:ascii="Arial" w:hAnsi="Arial" w:eastAsia="Times New Roman" w:cs="Arial"/>
          <w:bCs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sz w:val="24"/>
          <w:lang w:eastAsia="cs-CZ"/>
        </w:rPr>
      </w:pPr>
      <w:r>
        <w:rPr>
          <w:rFonts w:ascii="Arial" w:hAnsi="Arial" w:eastAsia="Times New Roman" w:cs="Arial"/>
          <w:b/>
          <w:sz w:val="24"/>
          <w:lang w:eastAsia="cs-CZ"/>
        </w:rPr>
      </w:r>
      <w:r>
        <w:rPr>
          <w:rFonts w:ascii="Arial" w:hAnsi="Arial" w:eastAsia="Times New Roman" w:cs="Arial"/>
          <w:b/>
          <w:sz w:val="24"/>
          <w:lang w:eastAsia="cs-CZ"/>
        </w:rPr>
      </w:r>
      <w:r>
        <w:rPr>
          <w:rFonts w:ascii="Arial" w:hAnsi="Arial" w:eastAsia="Times New Roman" w:cs="Arial"/>
          <w:b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1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Úvodní ustanovení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Tato obecně závazná vyhláška stanovuje obecní systém odpadového hospodářství na území obce Důl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927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4"/>
          <w:szCs w:val="24"/>
        </w:rPr>
        <w:br/>
        <w:t xml:space="preserve">s výjimkou výrobků s ukončenou životností, na místě obcí k tomuto účelu určeném, stává se obec vlastníkem této movité věci nebo odpadu</w:t>
      </w:r>
      <w:r>
        <w:rPr>
          <w:rStyle w:val="927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after="0"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2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Oddělené soustřeďování komunálního odpadu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numPr>
          <w:ilvl w:val="0"/>
          <w:numId w:val="13"/>
        </w:numPr>
        <w:pBdr/>
        <w:spacing w:after="12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Osoby předávající komunální odpad na místa určená obcí jsou povinny odděleně soustřeďovat následující složky: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Biologické odpady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papír,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plast (včetně PET lahví a nápojových kartonů),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sklo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 ( barevné)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kovy,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nebezpečné odpady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Style w:val="931"/>
        <w:numPr>
          <w:ilvl w:val="0"/>
          <w:numId w:val="6"/>
        </w:numPr>
        <w:pBdr/>
        <w:spacing w:after="0" w:line="259" w:lineRule="auto"/>
        <w:ind w:hanging="357" w:left="9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textil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objemný odpad,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nebezpečné složky komunálního odpadu,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12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směsný odpad.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Style w:val="931"/>
        <w:numPr>
          <w:ilvl w:val="0"/>
          <w:numId w:val="13"/>
        </w:numPr>
        <w:pBdr/>
        <w:spacing w:line="240" w:lineRule="auto"/>
        <w:ind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bookmarkStart w:id="0" w:name="_Hlk184667068"/>
      <w:r>
        <w:rPr>
          <w:rFonts w:ascii="Arial" w:hAnsi="Arial" w:eastAsia="Times New Roman" w:cs="Arial"/>
          <w:sz w:val="24"/>
          <w:szCs w:val="24"/>
          <w:lang w:eastAsia="cs-CZ"/>
        </w:rPr>
        <w:t xml:space="preserve">Směsný odpad je zbylý komunální odpad po stanoveném vytřídění dle </w:t>
      </w:r>
      <w:r>
        <w:rPr>
          <w:rFonts w:ascii="Arial" w:hAnsi="Arial" w:eastAsia="Times New Roman" w:cs="Arial"/>
          <w:sz w:val="24"/>
          <w:szCs w:val="24"/>
          <w:lang w:eastAsia="cs-CZ"/>
        </w:rPr>
        <w:br/>
        <w:t xml:space="preserve">odst. 1 písm. </w:t>
      </w:r>
      <w:r>
        <w:rPr>
          <w:rFonts w:ascii="Arial" w:hAnsi="Arial" w:cs="Arial"/>
        </w:rPr>
        <w:t xml:space="preserve">a), b), c), d), e), f), g), h)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i)</w:t>
      </w:r>
      <w:r>
        <w:rPr>
          <w:rFonts w:ascii="Arial" w:hAnsi="Arial" w:cs="Arial"/>
        </w:rPr>
        <w:t xml:space="preserve"> a j)</w:t>
      </w:r>
      <w:r>
        <w:rPr>
          <w:rFonts w:ascii="Arial" w:hAnsi="Arial" w:cs="Arial"/>
        </w:rPr>
        <w:t xml:space="preserve">.</w:t>
      </w:r>
      <w:bookmarkEnd w:id="0"/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Style w:val="936"/>
        <w:numPr>
          <w:ilvl w:val="0"/>
          <w:numId w:val="13"/>
        </w:numPr>
        <w:pBdr/>
        <w:spacing/>
        <w:in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Cs w:val="24"/>
        </w:rPr>
        <w:t xml:space="preserve">např. koberce, matrace, </w:t>
      </w:r>
      <w:r>
        <w:rPr>
          <w:rFonts w:ascii="Arial" w:hAnsi="Arial" w:cs="Arial"/>
          <w:i/>
          <w:iCs/>
          <w:szCs w:val="24"/>
        </w:rPr>
        <w:t xml:space="preserve">nábytek,…</w:t>
      </w:r>
      <w:r>
        <w:rPr>
          <w:rFonts w:ascii="Arial" w:hAnsi="Arial" w:cs="Arial"/>
          <w:szCs w:val="24"/>
        </w:rPr>
        <w:t xml:space="preserve"> ).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931"/>
        <w:pBdr/>
        <w:spacing w:after="0" w:line="240" w:lineRule="auto"/>
        <w:ind w:left="36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 w:firstLine="357" w:left="708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0"/>
          <w:lang w:eastAsia="cs-CZ"/>
        </w:rPr>
      </w:pPr>
      <w:r>
        <w:rPr>
          <w:rFonts w:ascii="Arial" w:hAnsi="Arial" w:eastAsia="Times New Roman" w:cs="Arial"/>
          <w:sz w:val="24"/>
          <w:szCs w:val="20"/>
          <w:lang w:eastAsia="cs-CZ"/>
        </w:rPr>
      </w:r>
      <w:r>
        <w:rPr>
          <w:rFonts w:ascii="Arial" w:hAnsi="Arial" w:eastAsia="Times New Roman" w:cs="Arial"/>
          <w:sz w:val="24"/>
          <w:szCs w:val="20"/>
          <w:lang w:eastAsia="cs-CZ"/>
        </w:rPr>
      </w:r>
      <w:r>
        <w:rPr>
          <w:rFonts w:ascii="Arial" w:hAnsi="Arial" w:eastAsia="Times New Roman" w:cs="Arial"/>
          <w:sz w:val="24"/>
          <w:szCs w:val="20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3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Určení míst pro oddělené soustřeďování určených složek komunálního odpadu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numPr>
          <w:ilvl w:val="0"/>
          <w:numId w:val="8"/>
        </w:numPr>
        <w:pBdr/>
        <w:spacing w:after="120" w:line="240" w:lineRule="auto"/>
        <w:ind w:hanging="425" w:left="425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cs="Arial"/>
        </w:rPr>
        <w:t xml:space="preserve">Papír, plasty, sklo, kovy, biologické odpady, textil se soustřeďují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Cs/>
        </w:rPr>
        <w:t xml:space="preserve">zvláštních sběrných nádob</w:t>
      </w:r>
      <w:r>
        <w:rPr>
          <w:rFonts w:ascii="Arial" w:hAnsi="Arial" w:cs="Arial"/>
        </w:rPr>
        <w:t xml:space="preserve">, kterými jsou </w:t>
      </w:r>
      <w:r>
        <w:rPr>
          <w:rFonts w:ascii="Arial" w:hAnsi="Arial" w:cs="Arial"/>
        </w:rPr>
        <w:t xml:space="preserve">sběrné nádoby o objemu 110 l, 120 l, 240 l, 600 l, 1100 l, velkoobjemové kontejnery.</w:t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Style w:val="931"/>
        <w:numPr>
          <w:ilvl w:val="0"/>
          <w:numId w:val="8"/>
        </w:numPr>
        <w:pBdr/>
        <w:spacing w:after="60" w:line="240" w:lineRule="auto"/>
        <w:ind w:hanging="426" w:left="426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 xml:space="preserve">Zvláštní sběrné nádoby jsou barevně odlišeny a označeny příslušnými nápisy:</w:t>
      </w:r>
      <w:r>
        <w:rPr>
          <w:rFonts w:ascii="Arial" w:hAnsi="Arial" w:eastAsia="Calibri" w:cs="Arial"/>
          <w:color w:val="000000"/>
          <w:sz w:val="24"/>
          <w:szCs w:val="24"/>
        </w:rPr>
      </w:r>
      <w:r>
        <w:rPr>
          <w:rFonts w:ascii="Arial" w:hAnsi="Arial" w:eastAsia="Calibri" w:cs="Arial"/>
          <w:color w:val="000000"/>
          <w:sz w:val="24"/>
          <w:szCs w:val="24"/>
        </w:rPr>
      </w:r>
    </w:p>
    <w:p>
      <w:pPr>
        <w:numPr>
          <w:ilvl w:val="0"/>
          <w:numId w:val="7"/>
        </w:numPr>
        <w:pBdr/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papír - 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kontejner modré barvy,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</w:p>
    <w:p>
      <w:pPr>
        <w:numPr>
          <w:ilvl w:val="0"/>
          <w:numId w:val="7"/>
        </w:numPr>
        <w:pBdr/>
        <w:tabs>
          <w:tab w:val="left" w:leader="none" w:pos="540"/>
        </w:tabs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plasty a PET lahve - 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kontejner žluté barvy,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</w:p>
    <w:p>
      <w:pPr>
        <w:numPr>
          <w:ilvl w:val="0"/>
          <w:numId w:val="7"/>
        </w:numPr>
        <w:pBdr/>
        <w:tabs>
          <w:tab w:val="left" w:leader="none" w:pos="540"/>
        </w:tabs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sklo barevné – kontejner zelené barvy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</w:p>
    <w:p>
      <w:pPr>
        <w:pBdr/>
        <w:spacing w:after="120" w:line="240" w:lineRule="auto"/>
        <w:ind w:hanging="284" w:left="993"/>
        <w:jc w:val="both"/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  <w:t xml:space="preserve">d) textil – budova obce Důl</w:t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color w:val="000000"/>
          <w:sz w:val="24"/>
          <w:szCs w:val="24"/>
          <w:lang w:eastAsia="cs-CZ"/>
        </w:rPr>
      </w:r>
    </w:p>
    <w:p>
      <w:pPr>
        <w:pStyle w:val="931"/>
        <w:numPr>
          <w:ilvl w:val="0"/>
          <w:numId w:val="8"/>
        </w:numPr>
        <w:pBdr/>
        <w:spacing w:after="120" w:line="259" w:lineRule="auto"/>
        <w:ind w:hanging="426"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Calibri" w:cs="Arial"/>
          <w:iCs/>
          <w:sz w:val="24"/>
          <w:szCs w:val="24"/>
        </w:rPr>
        <w:t xml:space="preserve">Biologick</w:t>
      </w:r>
      <w:r>
        <w:rPr>
          <w:rFonts w:ascii="Arial" w:hAnsi="Arial" w:eastAsia="Calibri" w:cs="Arial"/>
          <w:iCs/>
          <w:sz w:val="24"/>
          <w:szCs w:val="24"/>
        </w:rPr>
        <w:t xml:space="preserve">y rozložitelný odpad rostlinného původu vznikající na území obce Důl lze v období 1.3. - 31.10. předávat pověřené osobě ( starosta obce). Rostlinný odpad bude shromažďován na pozemku č. 574 v k.ú. Důl. Svoz rostlinného odpadu bude provádět Jan Salač Eš 10.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8"/>
        </w:numPr>
        <w:pBdr/>
        <w:spacing w:after="120" w:before="60" w:line="240" w:lineRule="auto"/>
        <w:ind w:hanging="426" w:left="426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 xml:space="preserve">Do zvláštních sběrných nádob je zakázáno ukládat jiné složky komunálních odpadů, než pro které jsou určeny.</w:t>
      </w:r>
      <w:r>
        <w:rPr>
          <w:rFonts w:ascii="Arial" w:hAnsi="Arial" w:eastAsia="Calibri" w:cs="Arial"/>
          <w:iCs/>
          <w:sz w:val="24"/>
          <w:szCs w:val="24"/>
        </w:rPr>
      </w:r>
      <w:r>
        <w:rPr>
          <w:rFonts w:ascii="Arial" w:hAnsi="Arial" w:eastAsia="Calibri" w:cs="Arial"/>
          <w:iCs/>
          <w:sz w:val="24"/>
          <w:szCs w:val="24"/>
        </w:rPr>
      </w:r>
    </w:p>
    <w:p>
      <w:pPr>
        <w:numPr>
          <w:ilvl w:val="0"/>
          <w:numId w:val="8"/>
        </w:numPr>
        <w:pBdr/>
        <w:spacing w:after="120" w:before="60" w:line="240" w:lineRule="auto"/>
        <w:ind w:hanging="426" w:left="426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Typizované sběrné nádoby je povinnost plnit tak, aby je bylo možno uzavřít a odpad z nich při manipulaci nevypadával. Pokud to umožňuje povaha odpadu, je nutno objem odpadu před jeho odložením do sběrné nádoby minimalizovat. </w:t>
      </w:r>
      <w:r>
        <w:rPr>
          <w:rFonts w:ascii="Arial" w:hAnsi="Arial" w:eastAsia="Calibri" w:cs="Arial"/>
          <w:iCs/>
          <w:sz w:val="24"/>
          <w:szCs w:val="24"/>
        </w:rPr>
      </w:r>
      <w:r>
        <w:rPr>
          <w:rFonts w:ascii="Arial" w:hAnsi="Arial" w:eastAsia="Calibri" w:cs="Arial"/>
          <w:iCs/>
          <w:sz w:val="24"/>
          <w:szCs w:val="24"/>
        </w:rPr>
      </w:r>
    </w:p>
    <w:p>
      <w:pPr>
        <w:numPr>
          <w:ilvl w:val="0"/>
          <w:numId w:val="8"/>
        </w:numPr>
        <w:pBdr/>
        <w:spacing w:after="120" w:before="60" w:line="240" w:lineRule="auto"/>
        <w:ind w:hanging="426" w:left="426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Kovový odpad lze předávat pověřené osobě provádějící sběr (místostarosta obce) a to vždy první středu v měsíci od 17.00 do 19.00 hod. Na obecním úřadě Důl.  Svoz kovového odpadu bude zajišťovat obec Důl.</w:t>
      </w:r>
      <w:r>
        <w:rPr>
          <w:rFonts w:ascii="Arial" w:hAnsi="Arial" w:eastAsia="Calibri" w:cs="Arial"/>
          <w:sz w:val="24"/>
          <w:szCs w:val="24"/>
        </w:rPr>
      </w:r>
      <w:r>
        <w:rPr>
          <w:rFonts w:ascii="Arial" w:hAnsi="Arial" w:eastAsia="Calibri" w:cs="Arial"/>
          <w:sz w:val="24"/>
          <w:szCs w:val="24"/>
        </w:rPr>
      </w:r>
    </w:p>
    <w:p>
      <w:pPr>
        <w:pBdr/>
        <w:spacing w:after="0" w:line="240" w:lineRule="auto"/>
        <w:ind w:hanging="426" w:left="426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Bdr/>
        <w:spacing w:after="0" w:line="240" w:lineRule="auto"/>
        <w:ind w:hanging="426" w:left="426"/>
        <w:rPr>
          <w:rFonts w:ascii="Arial" w:hAnsi="Arial" w:eastAsia="Times New Roman" w:cs="Arial"/>
          <w:i/>
          <w:iCs/>
          <w:lang w:eastAsia="cs-CZ"/>
        </w:rPr>
      </w:pPr>
      <w:r>
        <w:rPr>
          <w:rFonts w:ascii="Arial" w:hAnsi="Arial" w:eastAsia="Times New Roman" w:cs="Arial"/>
          <w:i/>
          <w:iCs/>
          <w:lang w:eastAsia="cs-CZ"/>
        </w:rPr>
      </w:r>
      <w:r>
        <w:rPr>
          <w:rFonts w:ascii="Arial" w:hAnsi="Arial" w:eastAsia="Times New Roman" w:cs="Arial"/>
          <w:i/>
          <w:iCs/>
          <w:lang w:eastAsia="cs-CZ"/>
        </w:rPr>
      </w:r>
      <w:r>
        <w:rPr>
          <w:rFonts w:ascii="Arial" w:hAnsi="Arial" w:eastAsia="Times New Roman" w:cs="Arial"/>
          <w:i/>
          <w:iCs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Čl. 4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S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voz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 nebezpečných složek komunálního odpadu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numPr>
          <w:ilvl w:val="0"/>
          <w:numId w:val="9"/>
        </w:numPr>
        <w:pBdr/>
        <w:tabs>
          <w:tab w:val="left" w:leader="none" w:pos="360"/>
        </w:tabs>
        <w:spacing w:after="120" w:line="240" w:lineRule="auto"/>
        <w:ind w:hanging="426" w:left="426"/>
        <w:jc w:val="both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voz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nebezpečných složek komunálního odpad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u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 je zajišťován 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dvakrát ročně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jejich odebíráním na předem vyhlášených přechodných stanovištích do zvláštních sběrných nádob k tomuto sběru určených, nebo přímo do sběrného vozu firmou SOMPO.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9"/>
        </w:numPr>
        <w:pBdr/>
        <w:tabs>
          <w:tab w:val="left" w:leader="none" w:pos="360"/>
        </w:tabs>
        <w:spacing w:after="120" w:line="240" w:lineRule="auto"/>
        <w:ind w:hanging="426" w:left="426"/>
        <w:jc w:val="both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Soustřeďování nebezpečných složek komunálního odpadu podléhá požadavkům stanoveným v čl. 3 odst. 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Bdr/>
        <w:tabs>
          <w:tab w:val="left" w:leader="none" w:pos="360"/>
        </w:tabs>
        <w:spacing w:after="120" w:line="240" w:lineRule="auto"/>
        <w:ind w:left="426"/>
        <w:jc w:val="both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5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S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voz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 objemného odpadu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numPr>
          <w:ilvl w:val="0"/>
          <w:numId w:val="3"/>
        </w:numPr>
        <w:pBdr/>
        <w:tabs>
          <w:tab w:val="clear" w:leader="none" w:pos="360"/>
        </w:tabs>
        <w:spacing w:after="60" w:line="240" w:lineRule="auto"/>
        <w:ind w:hanging="425" w:left="425"/>
        <w:jc w:val="both"/>
        <w:rPr>
          <w:rFonts w:ascii="Arial" w:hAnsi="Arial" w:eastAsia="Times New Roman" w:cs="Arial"/>
          <w:iCs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S</w:t>
      </w:r>
      <w:r>
        <w:rPr>
          <w:rFonts w:ascii="Arial" w:hAnsi="Arial" w:eastAsia="Times New Roman" w:cs="Arial"/>
          <w:sz w:val="24"/>
          <w:lang w:eastAsia="cs-CZ"/>
        </w:rPr>
        <w:t xml:space="preserve">voz objemného odpadu je zajišťován firmou SOMPO</w:t>
      </w:r>
      <w:r>
        <w:rPr>
          <w:rFonts w:ascii="Arial" w:hAnsi="Arial" w:eastAsia="Times New Roman" w:cs="Arial"/>
          <w:sz w:val="24"/>
          <w:lang w:eastAsia="cs-CZ"/>
        </w:rPr>
        <w:t xml:space="preserve"> jeho odebíráním na předem vyhlášených přechodných stanovištích přímo do zvláštních sběrných nádob k tomuto účelu určených. </w:t>
      </w: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</w:p>
    <w:p>
      <w:pPr>
        <w:pBdr/>
        <w:spacing w:after="60" w:line="240" w:lineRule="auto"/>
        <w:ind w:left="425"/>
        <w:jc w:val="both"/>
        <w:rPr>
          <w:rFonts w:ascii="Arial" w:hAnsi="Arial" w:eastAsia="Times New Roman" w:cs="Arial"/>
          <w:iCs/>
          <w:sz w:val="24"/>
          <w:lang w:eastAsia="cs-CZ"/>
        </w:rPr>
      </w:pP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</w:p>
    <w:p>
      <w:pPr>
        <w:pBdr/>
        <w:spacing w:after="60" w:line="240" w:lineRule="auto"/>
        <w:ind w:left="425"/>
        <w:jc w:val="both"/>
        <w:rPr>
          <w:rFonts w:ascii="Arial" w:hAnsi="Arial" w:eastAsia="Times New Roman" w:cs="Arial"/>
          <w:iCs/>
          <w:sz w:val="24"/>
          <w:lang w:eastAsia="cs-CZ"/>
        </w:rPr>
      </w:pP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6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S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oustřeďování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 směsného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 komunálního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 odpadu 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widowControl w:val="false"/>
        <w:numPr>
          <w:ilvl w:val="0"/>
          <w:numId w:val="16"/>
        </w:numPr>
        <w:pBdr/>
        <w:spacing w:after="0" w:line="240" w:lineRule="auto"/>
        <w:ind w:hanging="426" w:left="426"/>
        <w:jc w:val="both"/>
        <w:rPr>
          <w:rFonts w:ascii="Arial" w:hAnsi="Arial" w:cs="Arial"/>
          <w:strike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Směsný komunální odpad se odkládá do typizovaných sběrných nádob. Pro účely této vyhlášky se sběrnými nádobami rozumějí</w:t>
      </w:r>
      <w:r>
        <w:rPr>
          <w:rFonts w:ascii="Arial" w:hAnsi="Arial" w:cs="Arial"/>
          <w:strike/>
          <w:color w:val="00b0f0"/>
          <w:sz w:val="24"/>
          <w:szCs w:val="24"/>
        </w:rPr>
      </w:r>
      <w:r>
        <w:rPr>
          <w:rFonts w:ascii="Arial" w:hAnsi="Arial" w:cs="Arial"/>
          <w:strike/>
          <w:color w:val="00b0f0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 w:firstLine="6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popelnice</w:t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pBdr/>
        <w:spacing w:after="0" w:line="240" w:lineRule="auto"/>
        <w:ind w:firstLine="0" w:left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pBdr/>
        <w:spacing w:after="0" w:line="240" w:lineRule="auto"/>
        <w:ind w:left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numPr>
          <w:ilvl w:val="0"/>
          <w:numId w:val="16"/>
        </w:numPr>
        <w:pBdr/>
        <w:spacing w:after="0" w:line="240" w:lineRule="auto"/>
        <w:ind w:hanging="426" w:left="426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Soustřeďování směsného komunálního odpadu podléhá požadavkům stanoveným v čl. 3 odst. 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b0f0"/>
          <w:sz w:val="24"/>
          <w:szCs w:val="24"/>
        </w:rPr>
      </w:r>
      <w:r>
        <w:rPr>
          <w:rFonts w:ascii="Arial" w:hAnsi="Arial" w:cs="Arial"/>
          <w:color w:val="00b0f0"/>
          <w:sz w:val="24"/>
          <w:szCs w:val="24"/>
        </w:rPr>
      </w:r>
    </w:p>
    <w:p>
      <w:pPr>
        <w:pBdr/>
        <w:spacing w:after="0" w:line="240" w:lineRule="auto"/>
        <w:ind w:left="426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</w:r>
      <w:r>
        <w:rPr>
          <w:rFonts w:ascii="Arial" w:hAnsi="Arial" w:cs="Arial"/>
          <w:i/>
          <w:color w:val="00b0f0"/>
        </w:rPr>
      </w:r>
      <w:r>
        <w:rPr>
          <w:rFonts w:ascii="Arial" w:hAnsi="Arial" w:cs="Arial"/>
          <w:i/>
          <w:color w:val="00b0f0"/>
        </w:rPr>
      </w:r>
    </w:p>
    <w:p>
      <w:pPr>
        <w:keepNext w:val="true"/>
        <w:pBdr/>
        <w:spacing w:after="12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before="36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7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Nakládání se stavebním odpadem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 a demoličním odpadem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num" w:leader="none" w:pos="540"/>
        </w:tabs>
        <w:spacing w:after="120" w:line="240" w:lineRule="auto"/>
        <w:ind w:hanging="540" w:left="54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Stavební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m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 odpad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em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a demoliční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m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 odpad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em se rozumí odpad vznikající při stavebních a demoličních činnostech nepodnikajících fyzických osob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. Stavební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a demoliční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odpad není odpadem komunálním.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num" w:leader="none" w:pos="540"/>
        </w:tabs>
        <w:spacing w:after="120" w:line="240" w:lineRule="auto"/>
        <w:ind w:hanging="540" w:left="54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Stavební odpad lze použít, předat či zlikvidovat zákonem stanoveným způsobem.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after="120" w:line="240" w:lineRule="auto"/>
        <w:ind w:hanging="567"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odložení stavebního odpadu je možné objednat prostřednictvím obecního úřadu kontejner, který bude za úplatu přistaven a odvezen.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8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Zrušovací ustanovení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Zrušuje se o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becně závazná vyhláška č.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1/2015 o stanovení systému shromažďování, sběru, přepravy, třídění, využívání a odstraňování komunálních odpadů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 a nakládání se stavebním odpadem na území obce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Důl, ze dne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21.1.2015.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9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tabs>
          <w:tab w:val="center" w:leader="none" w:pos="4535"/>
          <w:tab w:val="left" w:leader="none" w:pos="8325"/>
        </w:tabs>
        <w:spacing w:after="12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Účinnost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Tato vyhláška nabývá účinnosti patnáctým dnem po dn</w:t>
      </w:r>
      <w:r>
        <w:rPr>
          <w:rFonts w:ascii="Arial" w:hAnsi="Arial" w:eastAsia="Times New Roman" w:cs="Arial"/>
          <w:sz w:val="24"/>
          <w:lang w:eastAsia="cs-CZ"/>
        </w:rPr>
        <w:t xml:space="preserve">i jejího vyhlášení.</w:t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i/>
          <w:lang w:eastAsia="ar-SA"/>
        </w:rPr>
      </w:pPr>
      <w:r>
        <w:rPr>
          <w:rFonts w:ascii="Arial" w:hAnsi="Arial" w:eastAsia="Times New Roman" w:cs="Arial"/>
          <w:i/>
          <w:lang w:eastAsia="ar-SA"/>
        </w:rPr>
        <w:tab/>
      </w:r>
      <w:r>
        <w:rPr>
          <w:rFonts w:ascii="Arial" w:hAnsi="Arial" w:eastAsia="Times New Roman" w:cs="Arial"/>
          <w:i/>
          <w:lang w:eastAsia="ar-SA"/>
        </w:rPr>
      </w:r>
      <w:r>
        <w:rPr>
          <w:rFonts w:ascii="Arial" w:hAnsi="Arial" w:eastAsia="Times New Roman" w:cs="Arial"/>
          <w:i/>
          <w:lang w:eastAsia="ar-SA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ar-SA"/>
        </w:rPr>
      </w:pPr>
      <w:r>
        <w:rPr>
          <w:rFonts w:ascii="Arial" w:hAnsi="Arial" w:eastAsia="Times New Roman" w:cs="Arial"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ar-SA"/>
        </w:rPr>
      </w:pP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ar-SA"/>
        </w:rPr>
      </w:pPr>
      <w:r>
        <w:rPr>
          <w:rFonts w:ascii="Arial" w:hAnsi="Arial" w:eastAsia="Times New Roman" w:cs="Arial"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 xml:space="preserve">...................................</w:t>
      </w:r>
      <w:r>
        <w:rPr>
          <w:rFonts w:ascii="Arial" w:hAnsi="Arial" w:eastAsia="Times New Roman" w:cs="Arial"/>
          <w:i/>
          <w:lang w:eastAsia="cs-CZ"/>
        </w:rPr>
        <w:tab/>
        <w:t xml:space="preserve">..........................................</w:t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284"/>
          <w:tab w:val="left" w:leader="none" w:pos="6379"/>
        </w:tabs>
        <w:spacing w:after="120" w:line="240" w:lineRule="auto"/>
        <w:ind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     Josef Pícha</w:t>
      </w:r>
      <w:r>
        <w:rPr>
          <w:rFonts w:ascii="Arial" w:hAnsi="Arial" w:eastAsia="Times New Roman" w:cs="Arial"/>
          <w:lang w:eastAsia="cs-CZ"/>
        </w:rPr>
        <w:tab/>
        <w:t xml:space="preserve">   Pavel Strnad</w:t>
      </w:r>
      <w:r>
        <w:rPr>
          <w:rFonts w:ascii="Arial" w:hAnsi="Arial" w:eastAsia="Times New Roman" w:cs="Arial"/>
          <w:lang w:eastAsia="cs-CZ"/>
        </w:rPr>
      </w:r>
      <w:r>
        <w:rPr>
          <w:rFonts w:ascii="Arial" w:hAnsi="Arial" w:eastAsia="Times New Roman" w:cs="Arial"/>
          <w:lang w:eastAsia="cs-CZ"/>
        </w:rPr>
      </w:r>
    </w:p>
    <w:p>
      <w:pPr>
        <w:pBdr/>
        <w:tabs>
          <w:tab w:val="left" w:leader="none" w:pos="284"/>
          <w:tab w:val="left" w:leader="none" w:pos="6379"/>
        </w:tabs>
        <w:spacing w:after="120" w:line="240" w:lineRule="auto"/>
        <w:ind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sz w:val="24"/>
          <w:szCs w:val="20"/>
          <w:lang w:eastAsia="cs-CZ"/>
        </w:rPr>
        <w:t xml:space="preserve">    </w:t>
      </w:r>
      <w:r>
        <w:rPr>
          <w:rFonts w:ascii="Arial" w:hAnsi="Arial" w:eastAsia="Times New Roman" w:cs="Arial"/>
          <w:lang w:eastAsia="cs-CZ"/>
        </w:rPr>
        <w:t xml:space="preserve">místostarosta</w:t>
      </w:r>
      <w:r>
        <w:rPr>
          <w:rFonts w:ascii="Arial" w:hAnsi="Arial" w:eastAsia="Times New Roman" w:cs="Arial"/>
          <w:lang w:eastAsia="cs-CZ"/>
        </w:rPr>
        <w:tab/>
        <w:t xml:space="preserve">       starosta</w:t>
      </w:r>
      <w:r>
        <w:rPr>
          <w:rFonts w:ascii="Arial" w:hAnsi="Arial" w:eastAsia="Times New Roman" w:cs="Arial"/>
          <w:lang w:eastAsia="cs-CZ"/>
        </w:rPr>
      </w:r>
      <w:r>
        <w:rPr>
          <w:rFonts w:ascii="Arial" w:hAnsi="Arial" w:eastAsia="Times New Roman" w:cs="Arial"/>
          <w:lang w:eastAsia="cs-CZ"/>
        </w:rPr>
      </w:r>
    </w:p>
    <w:p>
      <w:pPr>
        <w:pBdr/>
        <w:spacing/>
        <w:ind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pBdr/>
        <w:spacing/>
        <w:ind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pBdr/>
        <w:tabs>
          <w:tab w:val="left" w:leader="none" w:pos="108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Vyvěšeno na úřední desce dne :   20.února 2025</w:t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tabs>
          <w:tab w:val="left" w:leader="none" w:pos="108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Sejmuto z úřední desky dne      :   12.března 2025</w:t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sectPr>
      <w:footerReference w:type="default" r:id="rId9"/>
      <w:footnotePr/>
      <w:endnotePr/>
      <w:type w:val="nextPage"/>
      <w:pgSz w:h="16838" w:orient="portrait" w:w="11906"/>
      <w:pgMar w:top="1418" w:right="1417" w:bottom="1135" w:left="1418" w:header="708" w:footer="55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 xml:space="preserve"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</w:r>
    <w:r>
      <w:rPr>
        <w:caps/>
        <w:color w:val="4f81bd" w:themeColor="accent1"/>
      </w:rPr>
    </w:r>
  </w:p>
  <w:p>
    <w:pPr>
      <w:pStyle w:val="929"/>
      <w:pBdr/>
      <w:spacing/>
      <w:ind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  <w:footnote w:id="2">
    <w:p>
      <w:pPr>
        <w:pStyle w:val="925"/>
        <w:pBdr/>
        <w:spacing/>
        <w:ind/>
        <w:rPr>
          <w:rFonts w:ascii="Arial" w:hAnsi="Arial" w:cs="Arial"/>
        </w:rPr>
      </w:pPr>
      <w:r>
        <w:rPr>
          <w:rStyle w:val="927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dpadech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  <w:footnote w:id="3">
    <w:p>
      <w:pPr>
        <w:pStyle w:val="925"/>
        <w:pBdr/>
        <w:spacing/>
        <w:ind/>
        <w:rPr/>
      </w:pPr>
      <w:r>
        <w:rPr>
          <w:rStyle w:val="927"/>
          <w:rFonts w:ascii="Arial" w:hAnsi="Arial" w:cs="Arial"/>
        </w:rPr>
        <w:footnoteRef/>
      </w:r>
      <w:r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60 zákona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tab"/>
    </w:lvl>
    <w:lvl w:ilvl="1">
      <w:isLgl w:val="false"/>
      <w:lvlJc w:val="left"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tab"/>
    </w:lvl>
    <w:lvl w:ilvl="2">
      <w:isLgl w:val="false"/>
      <w:lvlJc w:val="left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(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(%1)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strike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16"/>
  </w:num>
  <w:num w:numId="5">
    <w:abstractNumId w:val="2"/>
  </w:num>
  <w:num w:numId="6">
    <w:abstractNumId w:val="20"/>
  </w:num>
  <w:num w:numId="7">
    <w:abstractNumId w:val="21"/>
  </w:num>
  <w:num w:numId="8">
    <w:abstractNumId w:val="15"/>
  </w:num>
  <w:num w:numId="9">
    <w:abstractNumId w:val="19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13"/>
  </w:num>
  <w:num w:numId="15">
    <w:abstractNumId w:val="9"/>
  </w:num>
  <w:num w:numId="16">
    <w:abstractNumId w:val="11"/>
  </w:num>
  <w:num w:numId="17">
    <w:abstractNumId w:val="18"/>
  </w:num>
  <w:num w:numId="18">
    <w:abstractNumId w:val="1"/>
  </w:num>
  <w:num w:numId="19">
    <w:abstractNumId w:val="10"/>
  </w:num>
  <w:num w:numId="20">
    <w:abstractNumId w:val="17"/>
  </w:num>
  <w:num w:numId="21">
    <w:abstractNumId w:val="14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0"/>
    <w:next w:val="920"/>
    <w:link w:val="74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1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920"/>
    <w:next w:val="920"/>
    <w:link w:val="7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1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2">
    <w:name w:val="Heading 3"/>
    <w:basedOn w:val="920"/>
    <w:next w:val="920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1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920"/>
    <w:next w:val="920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1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0"/>
    <w:next w:val="920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1"/>
    <w:link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0"/>
    <w:next w:val="920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1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0"/>
    <w:next w:val="920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1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0"/>
    <w:next w:val="920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1"/>
    <w:link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0"/>
    <w:next w:val="920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1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6">
    <w:name w:val="Title"/>
    <w:basedOn w:val="920"/>
    <w:next w:val="920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0"/>
    <w:next w:val="920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0"/>
    <w:next w:val="920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0"/>
    <w:next w:val="920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1"/>
    <w:link w:val="934"/>
    <w:uiPriority w:val="99"/>
    <w:pPr>
      <w:pBdr/>
      <w:spacing/>
      <w:ind/>
    </w:pPr>
  </w:style>
  <w:style w:type="character" w:styleId="775">
    <w:name w:val="Footer Char"/>
    <w:basedOn w:val="921"/>
    <w:link w:val="929"/>
    <w:uiPriority w:val="99"/>
    <w:pPr>
      <w:pBdr/>
      <w:spacing/>
      <w:ind/>
    </w:pPr>
  </w:style>
  <w:style w:type="paragraph" w:styleId="776">
    <w:name w:val="Caption"/>
    <w:basedOn w:val="920"/>
    <w:next w:val="9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29"/>
    <w:uiPriority w:val="99"/>
    <w:pPr>
      <w:pBdr/>
      <w:spacing/>
      <w:ind/>
    </w:pPr>
  </w:style>
  <w:style w:type="table" w:styleId="778">
    <w:name w:val="Table Grid"/>
    <w:basedOn w:val="9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5">
    <w:name w:val="Footnote Text Char"/>
    <w:link w:val="925"/>
    <w:uiPriority w:val="99"/>
    <w:pPr>
      <w:pBdr/>
      <w:spacing/>
      <w:ind/>
    </w:pPr>
    <w:rPr>
      <w:sz w:val="18"/>
    </w:rPr>
  </w:style>
  <w:style w:type="paragraph" w:styleId="906">
    <w:name w:val="endnote text"/>
    <w:basedOn w:val="920"/>
    <w:link w:val="90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7">
    <w:name w:val="Endnote Text Char"/>
    <w:link w:val="906"/>
    <w:uiPriority w:val="99"/>
    <w:pPr>
      <w:pBdr/>
      <w:spacing/>
      <w:ind/>
    </w:pPr>
    <w:rPr>
      <w:sz w:val="20"/>
    </w:rPr>
  </w:style>
  <w:style w:type="character" w:styleId="908">
    <w:name w:val="end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pBdr/>
      <w:spacing w:after="57"/>
      <w:ind w:right="0" w:firstLine="0" w:left="0"/>
    </w:pPr>
  </w:style>
  <w:style w:type="paragraph" w:styleId="910">
    <w:name w:val="toc 2"/>
    <w:basedOn w:val="920"/>
    <w:next w:val="920"/>
    <w:uiPriority w:val="39"/>
    <w:unhideWhenUsed/>
    <w:pPr>
      <w:pBdr/>
      <w:spacing w:after="57"/>
      <w:ind w:right="0" w:firstLine="0" w:left="283"/>
    </w:pPr>
  </w:style>
  <w:style w:type="paragraph" w:styleId="911">
    <w:name w:val="toc 3"/>
    <w:basedOn w:val="920"/>
    <w:next w:val="920"/>
    <w:uiPriority w:val="39"/>
    <w:unhideWhenUsed/>
    <w:pPr>
      <w:pBdr/>
      <w:spacing w:after="57"/>
      <w:ind w:right="0" w:firstLine="0" w:left="567"/>
    </w:pPr>
  </w:style>
  <w:style w:type="paragraph" w:styleId="912">
    <w:name w:val="toc 4"/>
    <w:basedOn w:val="920"/>
    <w:next w:val="920"/>
    <w:uiPriority w:val="39"/>
    <w:unhideWhenUsed/>
    <w:pPr>
      <w:pBdr/>
      <w:spacing w:after="57"/>
      <w:ind w:right="0" w:firstLine="0" w:left="850"/>
    </w:pPr>
  </w:style>
  <w:style w:type="paragraph" w:styleId="913">
    <w:name w:val="toc 5"/>
    <w:basedOn w:val="920"/>
    <w:next w:val="920"/>
    <w:uiPriority w:val="39"/>
    <w:unhideWhenUsed/>
    <w:pPr>
      <w:pBdr/>
      <w:spacing w:after="57"/>
      <w:ind w:right="0" w:firstLine="0" w:left="1134"/>
    </w:pPr>
  </w:style>
  <w:style w:type="paragraph" w:styleId="914">
    <w:name w:val="toc 6"/>
    <w:basedOn w:val="920"/>
    <w:next w:val="920"/>
    <w:uiPriority w:val="39"/>
    <w:unhideWhenUsed/>
    <w:pPr>
      <w:pBdr/>
      <w:spacing w:after="57"/>
      <w:ind w:right="0" w:firstLine="0" w:left="1417"/>
    </w:pPr>
  </w:style>
  <w:style w:type="paragraph" w:styleId="915">
    <w:name w:val="toc 7"/>
    <w:basedOn w:val="920"/>
    <w:next w:val="920"/>
    <w:uiPriority w:val="39"/>
    <w:unhideWhenUsed/>
    <w:pPr>
      <w:pBdr/>
      <w:spacing w:after="57"/>
      <w:ind w:right="0" w:firstLine="0" w:left="1701"/>
    </w:pPr>
  </w:style>
  <w:style w:type="paragraph" w:styleId="916">
    <w:name w:val="toc 8"/>
    <w:basedOn w:val="920"/>
    <w:next w:val="920"/>
    <w:uiPriority w:val="39"/>
    <w:unhideWhenUsed/>
    <w:pPr>
      <w:pBdr/>
      <w:spacing w:after="57"/>
      <w:ind w:right="0" w:firstLine="0" w:left="1984"/>
    </w:pPr>
  </w:style>
  <w:style w:type="paragraph" w:styleId="917">
    <w:name w:val="toc 9"/>
    <w:basedOn w:val="920"/>
    <w:next w:val="920"/>
    <w:uiPriority w:val="39"/>
    <w:unhideWhenUsed/>
    <w:pPr>
      <w:pBdr/>
      <w:spacing w:after="57"/>
      <w:ind w:right="0" w:firstLine="0"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</w:style>
  <w:style w:type="character" w:styleId="921" w:default="1">
    <w:name w:val="Default Paragraph Font"/>
    <w:uiPriority w:val="1"/>
    <w:unhideWhenUsed/>
    <w:pPr>
      <w:pBdr/>
      <w:spacing/>
      <w:ind/>
    </w:pPr>
  </w:style>
  <w:style w:type="table" w:styleId="9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3" w:default="1">
    <w:name w:val="No List"/>
    <w:uiPriority w:val="99"/>
    <w:semiHidden/>
    <w:unhideWhenUsed/>
    <w:pPr>
      <w:pBdr/>
      <w:spacing/>
      <w:ind/>
    </w:pPr>
  </w:style>
  <w:style w:type="paragraph" w:styleId="924">
    <w:name w:val="No Spacing"/>
    <w:uiPriority w:val="1"/>
    <w:qFormat/>
    <w:pPr>
      <w:pBdr/>
      <w:spacing w:after="0" w:line="240" w:lineRule="auto"/>
      <w:ind/>
    </w:pPr>
    <w:rPr>
      <w:rFonts w:eastAsia="Times New Roman" w:cs="Times New Roman"/>
    </w:rPr>
  </w:style>
  <w:style w:type="paragraph" w:styleId="925">
    <w:name w:val="footnote text"/>
    <w:basedOn w:val="920"/>
    <w:link w:val="926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 w:customStyle="1">
    <w:name w:val="Text pozn. pod čarou Char"/>
    <w:basedOn w:val="921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921"/>
    <w:semiHidden/>
    <w:pPr>
      <w:pBdr/>
      <w:spacing/>
      <w:ind/>
    </w:pPr>
    <w:rPr>
      <w:vertAlign w:val="superscript"/>
    </w:rPr>
  </w:style>
  <w:style w:type="character" w:styleId="928" w:customStyle="1">
    <w:name w:val="Znaky pro poznámku pod čarou"/>
    <w:basedOn w:val="921"/>
    <w:pPr>
      <w:pBdr/>
      <w:spacing/>
      <w:ind/>
    </w:pPr>
    <w:rPr>
      <w:vertAlign w:val="superscript"/>
    </w:rPr>
  </w:style>
  <w:style w:type="paragraph" w:styleId="929">
    <w:name w:val="Footer"/>
    <w:basedOn w:val="920"/>
    <w:link w:val="9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0" w:customStyle="1">
    <w:name w:val="Zápatí Char"/>
    <w:basedOn w:val="921"/>
    <w:link w:val="929"/>
    <w:uiPriority w:val="99"/>
    <w:pPr>
      <w:pBdr/>
      <w:spacing/>
      <w:ind/>
    </w:pPr>
  </w:style>
  <w:style w:type="paragraph" w:styleId="931">
    <w:name w:val="List Paragraph"/>
    <w:basedOn w:val="920"/>
    <w:uiPriority w:val="34"/>
    <w:qFormat/>
    <w:pPr>
      <w:pBdr/>
      <w:spacing/>
      <w:ind w:left="720"/>
      <w:contextualSpacing w:val="true"/>
    </w:pPr>
  </w:style>
  <w:style w:type="paragraph" w:styleId="932">
    <w:name w:val="Balloon Text"/>
    <w:basedOn w:val="920"/>
    <w:link w:val="93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3" w:customStyle="1">
    <w:name w:val="Text bubliny Char"/>
    <w:basedOn w:val="921"/>
    <w:link w:val="93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4">
    <w:name w:val="Header"/>
    <w:basedOn w:val="920"/>
    <w:link w:val="93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5" w:customStyle="1">
    <w:name w:val="Záhlaví Char"/>
    <w:basedOn w:val="921"/>
    <w:link w:val="934"/>
    <w:uiPriority w:val="99"/>
    <w:pPr>
      <w:pBdr/>
      <w:spacing/>
      <w:ind/>
    </w:pPr>
  </w:style>
  <w:style w:type="paragraph" w:styleId="936">
    <w:name w:val="Body Text Indent"/>
    <w:basedOn w:val="920"/>
    <w:link w:val="937"/>
    <w:pPr>
      <w:pBdr/>
      <w:spacing w:after="0" w:line="240" w:lineRule="auto"/>
      <w:ind w:firstLine="357" w:left="708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937" w:customStyle="1">
    <w:name w:val="Základní text odsazený Char"/>
    <w:basedOn w:val="921"/>
    <w:link w:val="93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EB0B-FD62-492F-B5F1-B7F48419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MVČR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revision>10</cp:revision>
  <dcterms:created xsi:type="dcterms:W3CDTF">2024-12-09T19:06:00Z</dcterms:created>
  <dcterms:modified xsi:type="dcterms:W3CDTF">2025-02-19T17:23:16Z</dcterms:modified>
</cp:coreProperties>
</file>