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240"/>
        <w:ind w:right="4256" w:hanging="0"/>
        <w:jc w:val="right"/>
        <w:rPr>
          <w:b/>
          <w:color w:val="000000"/>
          <w:sz w:val="28"/>
          <w:szCs w:val="28"/>
        </w:rPr>
      </w:pPr>
      <w:r>
        <w:rPr>
          <w:b/>
          <w:color w:val="000000"/>
          <w:sz w:val="28"/>
          <w:szCs w:val="28"/>
        </w:rPr>
        <w:t xml:space="preserve">OBEC </w:t>
      </w:r>
      <w:r>
        <w:rPr>
          <w:b/>
          <w:sz w:val="28"/>
          <w:szCs w:val="28"/>
        </w:rPr>
        <w:t>OSTRÁ</w:t>
      </w:r>
    </w:p>
    <w:p>
      <w:pPr>
        <w:pStyle w:val="LO-normal"/>
        <w:widowControl w:val="false"/>
        <w:spacing w:lineRule="auto" w:line="240" w:before="41" w:after="0"/>
        <w:ind w:right="3640" w:hanging="0"/>
        <w:jc w:val="right"/>
        <w:rPr>
          <w:b/>
          <w:color w:val="000000"/>
          <w:sz w:val="28"/>
          <w:szCs w:val="28"/>
        </w:rPr>
      </w:pPr>
      <w:r>
        <w:rPr>
          <w:b/>
          <w:color w:val="000000"/>
          <w:sz w:val="28"/>
          <w:szCs w:val="28"/>
        </w:rPr>
        <w:t xml:space="preserve">Zastupitelstvo obce </w:t>
      </w:r>
      <w:r>
        <w:rPr>
          <w:b/>
          <w:sz w:val="28"/>
          <w:szCs w:val="28"/>
        </w:rPr>
        <w:t>Ostrá</w:t>
      </w:r>
      <w:r>
        <w:rPr>
          <w:b/>
          <w:color w:val="000000"/>
          <w:sz w:val="28"/>
          <w:szCs w:val="28"/>
        </w:rPr>
        <w:t xml:space="preserve"> </w:t>
      </w:r>
    </w:p>
    <w:p>
      <w:pPr>
        <w:pStyle w:val="LO-normal"/>
        <w:widowControl w:val="false"/>
        <w:spacing w:lineRule="auto" w:line="240" w:before="411" w:after="0"/>
        <w:ind w:right="-16" w:hanging="0"/>
        <w:jc w:val="center"/>
        <w:rPr>
          <w:b/>
          <w:color w:val="000000"/>
          <w:sz w:val="24"/>
          <w:szCs w:val="24"/>
        </w:rPr>
      </w:pPr>
      <w:r>
        <w:rPr>
          <w:b/>
          <w:color w:val="000000"/>
          <w:sz w:val="24"/>
          <w:szCs w:val="24"/>
        </w:rPr>
        <w:t>Obecně závazná vyhláška obce</w:t>
      </w:r>
      <w:r>
        <w:rPr>
          <w:b/>
          <w:sz w:val="24"/>
          <w:szCs w:val="24"/>
        </w:rPr>
        <w:t xml:space="preserve">, </w:t>
      </w:r>
      <w:r>
        <w:rPr>
          <w:b/>
          <w:color w:val="000000"/>
          <w:sz w:val="24"/>
          <w:szCs w:val="24"/>
        </w:rPr>
        <w:t>kterou se vydává</w:t>
      </w:r>
    </w:p>
    <w:p>
      <w:pPr>
        <w:pStyle w:val="LO-normal"/>
        <w:widowControl w:val="false"/>
        <w:spacing w:lineRule="auto" w:line="240" w:before="363" w:after="0"/>
        <w:ind w:right="3747" w:hanging="0"/>
        <w:jc w:val="right"/>
        <w:rPr>
          <w:b/>
          <w:color w:val="000000"/>
          <w:sz w:val="28"/>
          <w:szCs w:val="28"/>
        </w:rPr>
      </w:pPr>
      <w:r>
        <w:rPr>
          <w:b/>
          <w:color w:val="000000"/>
          <w:sz w:val="28"/>
          <w:szCs w:val="28"/>
        </w:rPr>
        <w:t xml:space="preserve">POŽÁRNÍ ŘÁD OBCE </w:t>
      </w:r>
    </w:p>
    <w:p>
      <w:pPr>
        <w:pStyle w:val="LO-normal"/>
        <w:widowControl w:val="false"/>
        <w:spacing w:lineRule="auto" w:line="228" w:before="253" w:after="0"/>
        <w:ind w:left="856" w:right="-1" w:hanging="0"/>
        <w:jc w:val="both"/>
        <w:rPr>
          <w:color w:val="000000"/>
        </w:rPr>
      </w:pPr>
      <w:r>
        <w:rPr>
          <w:color w:val="000000"/>
        </w:rPr>
        <w:t xml:space="preserve">Zastupitelstvo obce </w:t>
      </w:r>
      <w:r>
        <w:rPr/>
        <w:t>Ostrá</w:t>
      </w:r>
      <w:r>
        <w:rPr>
          <w:color w:val="000000"/>
        </w:rPr>
        <w:t xml:space="preserve"> se na svém zasedání konaném dne</w:t>
      </w:r>
      <w:r>
        <w:rPr/>
        <w:t xml:space="preserve"> 17</w:t>
      </w:r>
      <w:r>
        <w:rPr>
          <w:color w:val="000000"/>
        </w:rPr>
        <w:t>. 10. 202</w:t>
      </w:r>
      <w:r>
        <w:rPr/>
        <w:t>4</w:t>
      </w:r>
      <w:r>
        <w:rPr>
          <w:color w:val="000000"/>
        </w:rPr>
        <w:t xml:space="preserve"> usnese</w:t>
      </w:r>
      <w:r>
        <w:rPr>
          <w:color w:val="000000"/>
          <w:shd w:fill="auto" w:val="clear"/>
        </w:rPr>
        <w:t>ním č. 24/24/202</w:t>
      </w:r>
      <w:r>
        <w:rPr>
          <w:shd w:fill="auto" w:val="clear"/>
        </w:rPr>
        <w:t>4</w:t>
      </w:r>
      <w:r>
        <w:rPr>
          <w:color w:val="000000"/>
          <w:shd w:fill="auto" w:val="clear"/>
        </w:rPr>
        <w:t xml:space="preserve"> </w:t>
      </w:r>
      <w:r>
        <w:rPr>
          <w:color w:val="000000"/>
        </w:rPr>
        <w:t xml:space="preserve"> usneslo vydat na základě § 29 odst. 1 písm.</w:t>
      </w:r>
      <w:r>
        <w:rPr/>
        <w:t xml:space="preserve"> o)</w:t>
      </w:r>
      <w:r>
        <w:rPr>
          <w:color w:val="000000"/>
        </w:rPr>
        <w:t xml:space="preserve"> zákona č. </w:t>
      </w:r>
      <w:r>
        <w:rPr/>
        <w:t>133</w:t>
      </w:r>
      <w:r>
        <w:rPr>
          <w:color w:val="000000"/>
        </w:rPr>
        <w:t>/19</w:t>
      </w:r>
      <w:r>
        <w:rPr/>
        <w:t>8</w:t>
      </w:r>
      <w:r>
        <w:rPr>
          <w:color w:val="000000"/>
        </w:rPr>
        <w:t xml:space="preserve">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 </w:t>
      </w:r>
    </w:p>
    <w:p>
      <w:pPr>
        <w:pStyle w:val="LO-normal"/>
        <w:widowControl w:val="false"/>
        <w:spacing w:lineRule="auto" w:line="240" w:before="497" w:after="0"/>
        <w:ind w:right="4928" w:hanging="0"/>
        <w:jc w:val="right"/>
        <w:rPr>
          <w:b/>
          <w:color w:val="000000"/>
          <w:sz w:val="24"/>
          <w:szCs w:val="24"/>
        </w:rPr>
      </w:pPr>
      <w:r>
        <w:rPr>
          <w:b/>
          <w:color w:val="000000"/>
          <w:sz w:val="24"/>
          <w:szCs w:val="24"/>
        </w:rPr>
        <w:t xml:space="preserve">Čl. 1 </w:t>
      </w:r>
    </w:p>
    <w:p>
      <w:pPr>
        <w:pStyle w:val="LO-normal"/>
        <w:widowControl w:val="false"/>
        <w:spacing w:lineRule="auto" w:line="240"/>
        <w:ind w:right="4180" w:hanging="0"/>
        <w:jc w:val="right"/>
        <w:rPr>
          <w:b/>
          <w:color w:val="000000"/>
          <w:sz w:val="24"/>
          <w:szCs w:val="24"/>
        </w:rPr>
      </w:pPr>
      <w:r>
        <w:rPr>
          <w:b/>
          <w:color w:val="000000"/>
          <w:sz w:val="24"/>
          <w:szCs w:val="24"/>
        </w:rPr>
        <w:t xml:space="preserve">Úvodní ustanovení </w:t>
      </w:r>
    </w:p>
    <w:p>
      <w:pPr>
        <w:pStyle w:val="LO-normal"/>
        <w:widowControl w:val="false"/>
        <w:spacing w:lineRule="auto" w:line="240" w:before="308" w:after="0"/>
        <w:ind w:left="867" w:hanging="0"/>
        <w:rPr>
          <w:color w:val="000000"/>
        </w:rPr>
      </w:pPr>
      <w:r>
        <w:rPr>
          <w:color w:val="000000"/>
        </w:rPr>
        <w:t xml:space="preserve">(1) Tato vyhláška upravuje organizaci a zásady zabezpečení požární ochrany v obci.  </w:t>
      </w:r>
    </w:p>
    <w:p>
      <w:pPr>
        <w:pStyle w:val="LO-normal"/>
        <w:widowControl w:val="false"/>
        <w:spacing w:lineRule="auto" w:line="228" w:before="248" w:after="0"/>
        <w:ind w:left="1565" w:hanging="698"/>
        <w:jc w:val="both"/>
        <w:rPr>
          <w:color w:val="000000"/>
        </w:rPr>
      </w:pPr>
      <w:r>
        <w:rPr>
          <w:color w:val="000000"/>
        </w:rPr>
        <w:t xml:space="preserve">(2) Při zabezpečování požární ochrany spolupracuje obec zejména s hasičským záchranným  sborem kraje, občanskými sdruženími a obecně prospěšnými společnostmi působícími na úseku  požární ochrany. </w:t>
      </w:r>
    </w:p>
    <w:p>
      <w:pPr>
        <w:pStyle w:val="LO-normal"/>
        <w:widowControl w:val="false"/>
        <w:spacing w:lineRule="auto" w:line="240" w:before="496" w:after="0"/>
        <w:ind w:right="4928" w:hanging="0"/>
        <w:jc w:val="right"/>
        <w:rPr>
          <w:b/>
          <w:color w:val="000000"/>
          <w:sz w:val="24"/>
          <w:szCs w:val="24"/>
        </w:rPr>
      </w:pPr>
      <w:r>
        <w:rPr>
          <w:b/>
          <w:color w:val="000000"/>
          <w:sz w:val="24"/>
          <w:szCs w:val="24"/>
        </w:rPr>
        <w:t xml:space="preserve">Čl. 2 </w:t>
      </w:r>
    </w:p>
    <w:p>
      <w:pPr>
        <w:pStyle w:val="LO-normal"/>
        <w:widowControl w:val="false"/>
        <w:spacing w:lineRule="auto" w:line="240"/>
        <w:ind w:right="1131" w:hanging="0"/>
        <w:jc w:val="right"/>
        <w:rPr>
          <w:b/>
          <w:color w:val="000000"/>
          <w:sz w:val="24"/>
          <w:szCs w:val="24"/>
        </w:rPr>
      </w:pPr>
      <w:r>
        <w:rPr>
          <w:b/>
          <w:color w:val="000000"/>
          <w:sz w:val="24"/>
          <w:szCs w:val="24"/>
        </w:rPr>
        <w:t xml:space="preserve">Vymezení činnosti osob pověřených zabezpečováním požární ochrany v obci </w:t>
      </w:r>
    </w:p>
    <w:p>
      <w:pPr>
        <w:pStyle w:val="LO-normal"/>
        <w:widowControl w:val="false"/>
        <w:spacing w:lineRule="auto" w:line="228" w:before="551" w:after="0"/>
        <w:ind w:left="1215" w:hanging="341"/>
        <w:jc w:val="both"/>
        <w:rPr>
          <w:color w:val="000000"/>
        </w:rPr>
      </w:pPr>
      <w:r>
        <w:rPr>
          <w:color w:val="000000"/>
        </w:rPr>
        <w:t xml:space="preserve">1) Ochrana životů, zdraví a majetku občanů před požáry, živelními pohromami a jinými mimořádnými  událostmi na území obce </w:t>
      </w:r>
      <w:r>
        <w:rPr/>
        <w:t>Ostrá</w:t>
      </w:r>
      <w:r>
        <w:rPr>
          <w:color w:val="000000"/>
        </w:rPr>
        <w:t xml:space="preserve"> (dále jen „obec“) je zajištěna společnou Jednotkou požární ochrany  Sboru dobrovolných hasičů (dále jen JPO SDH) města Lysá nad Labem podle čl. 5 této vyhlášky na  základě smlouvy </w:t>
      </w:r>
      <w:r>
        <w:rPr>
          <w:b w:val="false"/>
          <w:i w:val="false"/>
          <w:strike w:val="false"/>
          <w:dstrike w:val="false"/>
          <w:outline w:val="false"/>
          <w:shadow w:val="false"/>
          <w:color w:val="auto"/>
          <w:spacing w:val="0"/>
          <w:kern w:val="0"/>
          <w:sz w:val="20"/>
          <w:u w:val="none"/>
          <w:em w:val="none"/>
        </w:rPr>
        <w:t xml:space="preserve">Smlouvy o zabezpečení požární ochrany a sdružení prostředků </w:t>
      </w:r>
      <w:r>
        <w:rPr>
          <w:color w:val="000000"/>
        </w:rPr>
        <w:t xml:space="preserve">ze dne 26. 9. 2022 a dalšími jednotkami požární ochrany uvedenými v příloze č. 1 této  vyhlášky. </w:t>
      </w:r>
    </w:p>
    <w:p>
      <w:pPr>
        <w:pStyle w:val="LO-normal"/>
        <w:widowControl w:val="false"/>
        <w:spacing w:lineRule="auto" w:line="228" w:before="244" w:after="0"/>
        <w:ind w:left="1227" w:right="5" w:hanging="369"/>
        <w:rPr>
          <w:color w:val="000000"/>
        </w:rPr>
      </w:pPr>
      <w:r>
        <w:rPr>
          <w:color w:val="000000"/>
        </w:rPr>
        <w:t xml:space="preserve">2) K zabezpečení úkolů na úseku požární ochrany byly na základě usnesení zastupitelstva obce dále  pověřeny tyto orgány obce: </w:t>
      </w:r>
    </w:p>
    <w:p>
      <w:pPr>
        <w:pStyle w:val="LO-normal"/>
        <w:widowControl w:val="false"/>
        <w:spacing w:lineRule="auto" w:line="228" w:before="7" w:after="0"/>
        <w:ind w:left="2286" w:right="-6" w:hanging="859"/>
        <w:jc w:val="both"/>
        <w:rPr>
          <w:color w:val="000000"/>
        </w:rPr>
      </w:pPr>
      <w:r>
        <w:rPr>
          <w:color w:val="000000"/>
        </w:rPr>
        <w:t xml:space="preserve">a) zastupitelstvo obce - projednáním stavu požární ochrany v obci minimálně 1 x za  12 měsíců nebo vždy po závažné mimořádné události mající vztah k zajištění  požární ochrany v obci, </w:t>
      </w:r>
    </w:p>
    <w:p>
      <w:pPr>
        <w:pStyle w:val="LO-normal"/>
        <w:widowControl w:val="false"/>
        <w:spacing w:lineRule="auto" w:line="228" w:before="6" w:after="0"/>
        <w:ind w:left="2286" w:right="-5" w:hanging="853"/>
        <w:jc w:val="both"/>
        <w:rPr>
          <w:color w:val="000000"/>
        </w:rPr>
      </w:pPr>
      <w:r>
        <w:rPr>
          <w:color w:val="000000"/>
        </w:rPr>
        <w:t xml:space="preserve">b) starosta - zabezpečováním pravidelných kontrol dodržování předpisů a plnění  povinností obce na úseku požární ochrany vyplývajících z její samostatné  působnosti, a to minimálně 1 x za 12 měsíců. </w:t>
      </w:r>
    </w:p>
    <w:p>
      <w:pPr>
        <w:pStyle w:val="LO-normal"/>
        <w:widowControl w:val="false"/>
        <w:spacing w:lineRule="auto" w:line="240" w:before="702" w:after="0"/>
        <w:ind w:right="4928" w:hanging="0"/>
        <w:jc w:val="right"/>
        <w:rPr>
          <w:b/>
          <w:color w:val="000000"/>
          <w:sz w:val="24"/>
          <w:szCs w:val="24"/>
        </w:rPr>
      </w:pPr>
      <w:r>
        <w:rPr>
          <w:b/>
          <w:color w:val="000000"/>
          <w:sz w:val="24"/>
          <w:szCs w:val="24"/>
        </w:rPr>
        <w:t xml:space="preserve">Čl. 3 </w:t>
      </w:r>
    </w:p>
    <w:p>
      <w:pPr>
        <w:pStyle w:val="LO-normal"/>
        <w:widowControl w:val="false"/>
        <w:spacing w:lineRule="auto" w:line="228"/>
        <w:ind w:left="1103" w:right="241" w:hanging="0"/>
        <w:jc w:val="center"/>
        <w:rPr>
          <w:b/>
          <w:color w:val="000000"/>
          <w:sz w:val="24"/>
          <w:szCs w:val="24"/>
        </w:rPr>
      </w:pPr>
      <w:r>
        <w:rPr>
          <w:b/>
          <w:color w:val="000000"/>
          <w:sz w:val="24"/>
          <w:szCs w:val="24"/>
        </w:rPr>
        <w:t xml:space="preserve">Podmínky požární bezpečnosti při činnostech a v objektech se zvýšeným nebezpečím vzniku  požáru se zřetelem na místní situaci </w:t>
      </w:r>
    </w:p>
    <w:p>
      <w:pPr>
        <w:pStyle w:val="LO-normal"/>
        <w:widowControl w:val="false"/>
        <w:spacing w:lineRule="auto" w:line="228"/>
        <w:ind w:left="1103" w:right="241" w:hanging="0"/>
        <w:jc w:val="center"/>
        <w:rPr>
          <w:b/>
          <w:sz w:val="24"/>
          <w:szCs w:val="24"/>
        </w:rPr>
      </w:pPr>
      <w:r>
        <w:rPr>
          <w:b/>
          <w:sz w:val="24"/>
          <w:szCs w:val="24"/>
        </w:rPr>
      </w:r>
    </w:p>
    <w:p>
      <w:pPr>
        <w:pStyle w:val="LO-normal"/>
        <w:widowControl w:val="false"/>
        <w:spacing w:lineRule="auto" w:line="228" w:before="1" w:after="0"/>
        <w:ind w:left="834" w:right="583" w:firstLine="10"/>
        <w:rPr>
          <w:color w:val="000000"/>
        </w:rPr>
      </w:pPr>
      <w:r>
        <w:rPr>
          <w:color w:val="000000"/>
        </w:rPr>
        <w:t>(1) Za činnosti, při kterých hrozí nebezpečí vzniku požáru, se dle místních podmínek  považuje:</w:t>
      </w:r>
    </w:p>
    <w:p>
      <w:pPr>
        <w:pStyle w:val="NormalWeb"/>
        <w:numPr>
          <w:ilvl w:val="0"/>
          <w:numId w:val="0"/>
        </w:numPr>
        <w:spacing w:beforeAutospacing="0" w:before="0" w:afterAutospacing="0" w:after="0"/>
        <w:ind w:left="927" w:hanging="0"/>
        <w:rPr>
          <w:color w:val="000000"/>
        </w:rPr>
      </w:pPr>
      <w:r>
        <w:rPr>
          <w:color w:val="000000"/>
        </w:rPr>
      </w:r>
    </w:p>
    <w:p>
      <w:pPr>
        <w:pStyle w:val="NormalWeb"/>
        <w:numPr>
          <w:ilvl w:val="0"/>
          <w:numId w:val="0"/>
        </w:numPr>
        <w:spacing w:beforeAutospacing="0" w:before="0" w:afterAutospacing="0" w:after="0"/>
        <w:ind w:left="927" w:hanging="0"/>
        <w:rPr>
          <w:color w:val="000000"/>
        </w:rPr>
      </w:pPr>
      <w:r>
        <w:rPr>
          <w:rFonts w:cs="Arial" w:ascii="Arial" w:hAnsi="Arial"/>
          <w:color w:val="000000"/>
          <w:sz w:val="22"/>
          <w:szCs w:val="22"/>
        </w:rPr>
        <w:t>Konání veřejnosti přístupných kulturních a sportovních akcí na veřejných prostranstvích, při nichž dochází k manipulaci s otevřeným ohněm a na něž se nevztahují povinnosti uvedené v § 6 zákona o požární ochraně ani v právním předpisu kraje</w:t>
      </w:r>
      <w:r>
        <w:rPr>
          <w:rFonts w:cs="Arial" w:ascii="Arial" w:hAnsi="Arial"/>
          <w:color w:val="000000"/>
          <w:sz w:val="22"/>
          <w:szCs w:val="22"/>
          <w:vertAlign w:val="superscript"/>
        </w:rPr>
        <w:t>3</w:t>
      </w:r>
      <w:r>
        <w:rPr>
          <w:rFonts w:cs="Arial" w:ascii="Arial" w:hAnsi="Arial"/>
          <w:color w:val="000000"/>
          <w:sz w:val="22"/>
          <w:szCs w:val="22"/>
        </w:rPr>
        <w:t xml:space="preserve"> či obce</w:t>
      </w:r>
      <w:r>
        <w:rPr>
          <w:rFonts w:cs="Arial" w:ascii="Arial" w:hAnsi="Arial"/>
          <w:color w:val="000000"/>
          <w:sz w:val="22"/>
          <w:szCs w:val="22"/>
          <w:vertAlign w:val="superscript"/>
        </w:rPr>
        <w:t>4</w:t>
      </w:r>
      <w:r>
        <w:rPr>
          <w:rFonts w:cs="Arial" w:ascii="Arial" w:hAnsi="Arial"/>
          <w:color w:val="000000"/>
          <w:sz w:val="22"/>
          <w:szCs w:val="22"/>
        </w:rPr>
        <w:t xml:space="preserve"> vydanému k zabezpečení požární ochrany při akcích, kterých se zúčastňuje větší počet osob.</w:t>
      </w:r>
    </w:p>
    <w:p>
      <w:pPr>
        <w:pStyle w:val="NormalWeb"/>
        <w:spacing w:beforeAutospacing="0" w:before="0" w:afterAutospacing="0" w:after="0"/>
        <w:ind w:hanging="0"/>
        <w:rPr>
          <w:rFonts w:ascii="Arial" w:hAnsi="Arial" w:cs="Arial"/>
          <w:color w:val="000000"/>
          <w:sz w:val="22"/>
          <w:szCs w:val="22"/>
        </w:rPr>
      </w:pPr>
      <w:r>
        <w:rPr>
          <w:rFonts w:cs="Arial" w:ascii="Arial" w:hAnsi="Arial"/>
          <w:color w:val="000000"/>
          <w:sz w:val="22"/>
          <w:szCs w:val="22"/>
        </w:rPr>
      </w:r>
    </w:p>
    <w:p>
      <w:pPr>
        <w:pStyle w:val="Normal"/>
        <w:ind w:left="567" w:hanging="0"/>
        <w:jc w:val="both"/>
        <w:rPr>
          <w:color w:val="000000"/>
        </w:rPr>
      </w:pPr>
      <w:r>
        <w:rPr>
          <w:color w:val="000000"/>
        </w:rPr>
        <w:t>Pořadatel akce je povinen konání akce nahlásit min. 2 pracovní dny před jejím započetím na Obecním úřadu obce Ostrá a na operační středisko Hasičského záchranného sboru Středočeského kraje. Je-li pořadatelem právnická osoba či fyzická osoba podnikající, je její povinností zřídit preventivní požární hlídku</w:t>
      </w:r>
      <w:r>
        <w:rPr>
          <w:color w:val="000000"/>
          <w:vertAlign w:val="superscript"/>
        </w:rPr>
        <w:t>5</w:t>
      </w:r>
      <w:r>
        <w:rPr>
          <w:color w:val="000000"/>
        </w:rPr>
        <w:t xml:space="preserve">. </w:t>
      </w:r>
    </w:p>
    <w:p>
      <w:pPr>
        <w:pStyle w:val="Normal"/>
        <w:ind w:left="567" w:hanging="0"/>
        <w:jc w:val="both"/>
        <w:rPr>
          <w:color w:val="000000"/>
        </w:rPr>
      </w:pPr>
      <w:r>
        <w:rPr>
          <w:color w:val="000000"/>
        </w:rPr>
        <w:t xml:space="preserve"> </w:t>
      </w:r>
    </w:p>
    <w:p>
      <w:pPr>
        <w:pStyle w:val="LO-normal"/>
        <w:widowControl w:val="false"/>
        <w:spacing w:lineRule="auto" w:line="228" w:before="6" w:after="0"/>
        <w:ind w:left="720" w:right="36" w:hanging="0"/>
        <w:rPr/>
      </w:pPr>
      <w:r>
        <w:rPr>
          <w:b/>
        </w:rPr>
        <w:t>Sklízení obilí z okolních polí,</w:t>
      </w:r>
      <w:r>
        <w:rPr/>
        <w:t xml:space="preserve"> požární bezpečnost zajišťují hospodařící firmy; </w:t>
      </w:r>
    </w:p>
    <w:p>
      <w:pPr>
        <w:pStyle w:val="LO-normal"/>
        <w:widowControl w:val="false"/>
        <w:numPr>
          <w:ilvl w:val="0"/>
          <w:numId w:val="3"/>
        </w:numPr>
        <w:spacing w:lineRule="auto" w:line="228" w:before="6" w:after="0"/>
        <w:rPr/>
      </w:pPr>
      <w:r>
        <w:rPr/>
        <w:t xml:space="preserve">v období sucha hrozí </w:t>
      </w:r>
      <w:r>
        <w:rPr>
          <w:b/>
        </w:rPr>
        <w:t>vznícení suchých travních porostů v okolí dráhy ČD</w:t>
      </w:r>
      <w:r>
        <w:rPr/>
        <w:t xml:space="preserve"> od jiskry  odpadlé od kol projíždějících vlaků, požární bezpečnost zajišťují zaměstnanci ČD. </w:t>
      </w:r>
    </w:p>
    <w:p>
      <w:pPr>
        <w:pStyle w:val="LO-normal"/>
        <w:widowControl w:val="false"/>
        <w:spacing w:lineRule="auto" w:line="228" w:before="6" w:after="0"/>
        <w:ind w:left="720" w:right="36" w:hanging="0"/>
        <w:rPr/>
      </w:pPr>
      <w:r>
        <w:rPr/>
      </w:r>
    </w:p>
    <w:p>
      <w:pPr>
        <w:pStyle w:val="LO-normal"/>
        <w:widowControl w:val="false"/>
        <w:spacing w:lineRule="auto" w:line="228" w:before="6" w:after="0"/>
        <w:ind w:left="720" w:right="36" w:hanging="0"/>
        <w:rPr/>
      </w:pPr>
      <w:r>
        <w:rPr/>
        <w:t xml:space="preserve">(2) Za dobu se zvýšeným nebezpečím vzniku požáru se dle místních podmínek považuje: </w:t>
      </w:r>
    </w:p>
    <w:p>
      <w:pPr>
        <w:pStyle w:val="LO-normal"/>
        <w:widowControl w:val="false"/>
        <w:spacing w:lineRule="auto" w:line="228" w:before="6" w:after="0"/>
        <w:ind w:left="720" w:right="36" w:hanging="0"/>
        <w:rPr>
          <w:b/>
        </w:rPr>
      </w:pPr>
      <w:r>
        <w:rPr/>
        <w:t xml:space="preserve">a) </w:t>
      </w:r>
      <w:r>
        <w:rPr>
          <w:b/>
        </w:rPr>
        <w:t xml:space="preserve">období sucha v letním období a to od 1. 5. do 30. 9. </w:t>
      </w:r>
    </w:p>
    <w:p>
      <w:pPr>
        <w:pStyle w:val="LO-normal"/>
        <w:widowControl w:val="false"/>
        <w:spacing w:lineRule="auto" w:line="228" w:before="6" w:after="0"/>
        <w:ind w:left="720" w:right="36" w:hanging="0"/>
        <w:jc w:val="both"/>
        <w:rPr>
          <w:b/>
        </w:rPr>
      </w:pPr>
      <w:r>
        <w:rPr/>
        <w:t>Požární bezpečnost v tomto  období je zajištěna zákazem kouření, rozdělávání ohňů a zákazem vstupu do lesa mimo  vyznačené cesty v katastru obce Ostrá. Tímto ustanovením není dotčeno NAŘÍZENÍ Středočeského kraje č. 3/2020 ze dne 20. dubna 2020, o stanovení podmínek k zabezpečení požární ochrany v době zvýšeného nebezpečí vzniku požáru.</w:t>
      </w:r>
    </w:p>
    <w:p>
      <w:pPr>
        <w:pStyle w:val="LO-normal"/>
        <w:widowControl w:val="false"/>
        <w:spacing w:lineRule="auto" w:line="228"/>
        <w:ind w:left="1103" w:right="241" w:hanging="0"/>
        <w:jc w:val="center"/>
        <w:rPr>
          <w:b/>
          <w:sz w:val="24"/>
          <w:szCs w:val="24"/>
        </w:rPr>
      </w:pPr>
      <w:r>
        <w:rPr>
          <w:b/>
          <w:sz w:val="24"/>
          <w:szCs w:val="24"/>
        </w:rPr>
      </w:r>
    </w:p>
    <w:p>
      <w:pPr>
        <w:pStyle w:val="LO-normal"/>
        <w:widowControl w:val="false"/>
        <w:spacing w:lineRule="auto" w:line="240"/>
        <w:ind w:right="4928" w:hanging="0"/>
        <w:jc w:val="right"/>
        <w:rPr>
          <w:b/>
          <w:color w:val="000000"/>
          <w:sz w:val="24"/>
          <w:szCs w:val="24"/>
        </w:rPr>
      </w:pPr>
      <w:r>
        <w:rPr>
          <w:b/>
          <w:color w:val="000000"/>
          <w:sz w:val="24"/>
          <w:szCs w:val="24"/>
        </w:rPr>
        <w:t xml:space="preserve">Čl. 4 </w:t>
      </w:r>
    </w:p>
    <w:p>
      <w:pPr>
        <w:pStyle w:val="LO-normal"/>
        <w:widowControl w:val="false"/>
        <w:spacing w:lineRule="auto" w:line="240"/>
        <w:ind w:right="2135" w:hanging="0"/>
        <w:jc w:val="right"/>
        <w:rPr>
          <w:b/>
          <w:color w:val="000000"/>
          <w:sz w:val="24"/>
          <w:szCs w:val="24"/>
        </w:rPr>
      </w:pPr>
      <w:r>
        <w:rPr>
          <w:b/>
          <w:color w:val="000000"/>
          <w:sz w:val="24"/>
          <w:szCs w:val="24"/>
        </w:rPr>
        <w:t xml:space="preserve">Způsob nepřetržitého zabezpečení požární ochrany v obci </w:t>
      </w:r>
    </w:p>
    <w:p>
      <w:pPr>
        <w:pStyle w:val="LO-normal"/>
        <w:widowControl w:val="false"/>
        <w:spacing w:lineRule="auto" w:line="228" w:before="311" w:after="0"/>
        <w:ind w:left="1425" w:hanging="558"/>
        <w:rPr>
          <w:color w:val="000000"/>
        </w:rPr>
      </w:pPr>
      <w:r>
        <w:rPr>
          <w:color w:val="000000"/>
        </w:rPr>
        <w:t>(1) Přijetí ohlášení požáru, živeln</w:t>
      </w:r>
      <w:r>
        <w:rPr/>
        <w:t>é</w:t>
      </w:r>
      <w:r>
        <w:rPr>
          <w:color w:val="000000"/>
        </w:rPr>
        <w:t xml:space="preserve"> pohromy či jiné mimořádné události na území obce je zabezpečeno  systémem ohlašoven požárů uvedených v čl. 7. </w:t>
      </w:r>
    </w:p>
    <w:p>
      <w:pPr>
        <w:pStyle w:val="LO-normal"/>
        <w:widowControl w:val="false"/>
        <w:spacing w:lineRule="auto" w:line="228" w:before="259" w:after="0"/>
        <w:ind w:left="1426" w:hanging="559"/>
        <w:jc w:val="both"/>
        <w:rPr>
          <w:color w:val="000000"/>
        </w:rPr>
      </w:pPr>
      <w:r>
        <w:rPr>
          <w:color w:val="000000"/>
        </w:rPr>
        <w:t xml:space="preserve">(2) Ochrana </w:t>
      </w:r>
      <w:r>
        <w:rPr/>
        <w:t>života</w:t>
      </w:r>
      <w:r>
        <w:rPr>
          <w:color w:val="000000"/>
        </w:rPr>
        <w:t xml:space="preserve">, zdraví a majetku občanů před požáry, živelními pohromami a jinými mimořádnými  událostmi na území obce je zabezpečena společnou jednotkou požární ochrany uvedenou v čl. 5 a  dalšími jednotkami uvedenými v příloze č. 1 vyhlášky. </w:t>
      </w:r>
    </w:p>
    <w:p>
      <w:pPr>
        <w:pStyle w:val="LO-normal"/>
        <w:widowControl w:val="false"/>
        <w:spacing w:lineRule="auto" w:line="240" w:before="261" w:after="0"/>
        <w:ind w:left="851" w:hanging="0"/>
        <w:rPr>
          <w:color w:val="000000"/>
          <w:sz w:val="24"/>
          <w:szCs w:val="24"/>
        </w:rPr>
      </w:pPr>
      <w:r>
        <w:rPr>
          <w:color w:val="000000"/>
          <w:sz w:val="24"/>
          <w:szCs w:val="24"/>
        </w:rPr>
        <w:t xml:space="preserve">_____________  </w:t>
      </w:r>
    </w:p>
    <w:p>
      <w:pPr>
        <w:pStyle w:val="LO-normal"/>
        <w:widowControl w:val="false"/>
        <w:spacing w:lineRule="auto" w:line="240" w:before="252" w:after="0"/>
        <w:ind w:left="856" w:hanging="0"/>
        <w:rPr>
          <w:color w:val="000000"/>
        </w:rPr>
      </w:pPr>
      <w:r>
        <w:rPr>
          <w:color w:val="000000"/>
          <w:vertAlign w:val="superscript"/>
        </w:rPr>
        <w:t xml:space="preserve">3 </w:t>
      </w:r>
      <w:r>
        <w:rPr>
          <w:color w:val="000000"/>
        </w:rPr>
        <w:t xml:space="preserve">§ 27 odst. 2 písm. b) bod 5 zákona o požární ochraně </w:t>
      </w:r>
    </w:p>
    <w:p>
      <w:pPr>
        <w:pStyle w:val="LO-normal"/>
        <w:widowControl w:val="false"/>
        <w:spacing w:lineRule="auto" w:line="240"/>
        <w:ind w:left="855" w:hanging="0"/>
        <w:rPr>
          <w:color w:val="000000"/>
        </w:rPr>
      </w:pPr>
      <w:r>
        <w:rPr>
          <w:color w:val="000000"/>
          <w:vertAlign w:val="superscript"/>
        </w:rPr>
        <w:t xml:space="preserve">4 </w:t>
      </w:r>
      <w:r>
        <w:rPr>
          <w:color w:val="000000"/>
        </w:rPr>
        <w:t xml:space="preserve">§ 29 odst. 1 písm. o) bod 2 zákona o požární ochraně </w:t>
      </w:r>
    </w:p>
    <w:p>
      <w:pPr>
        <w:pStyle w:val="LO-normal"/>
        <w:widowControl w:val="false"/>
        <w:spacing w:lineRule="auto" w:line="240"/>
        <w:ind w:left="856" w:hanging="0"/>
        <w:rPr>
          <w:color w:val="000000"/>
        </w:rPr>
      </w:pPr>
      <w:r>
        <w:rPr>
          <w:color w:val="000000"/>
          <w:vertAlign w:val="superscript"/>
        </w:rPr>
        <w:t xml:space="preserve">5 </w:t>
      </w:r>
      <w:r>
        <w:rPr>
          <w:color w:val="000000"/>
        </w:rPr>
        <w:t xml:space="preserve">§ 13 odst. 1 písm. b) zákona o požární ochraně </w:t>
      </w:r>
    </w:p>
    <w:p>
      <w:pPr>
        <w:pStyle w:val="LO-normal"/>
        <w:widowControl w:val="false"/>
        <w:spacing w:lineRule="auto" w:line="240"/>
        <w:ind w:left="856" w:hanging="0"/>
        <w:rPr>
          <w:color w:val="000000"/>
        </w:rPr>
      </w:pPr>
      <w:r>
        <w:rPr>
          <w:color w:val="000000"/>
        </w:rPr>
      </w:r>
    </w:p>
    <w:p>
      <w:pPr>
        <w:pStyle w:val="LO-normal"/>
        <w:widowControl w:val="false"/>
        <w:spacing w:lineRule="auto" w:line="240"/>
        <w:ind w:left="856" w:hanging="0"/>
        <w:rPr>
          <w:color w:val="000000"/>
        </w:rPr>
      </w:pPr>
      <w:r>
        <w:rPr>
          <w:b/>
          <w:color w:val="000000"/>
          <w:sz w:val="24"/>
          <w:szCs w:val="24"/>
        </w:rPr>
        <w:tab/>
        <w:tab/>
        <w:tab/>
        <w:tab/>
        <w:tab/>
        <w:tab/>
        <w:t xml:space="preserve">Čl. 5 </w:t>
      </w:r>
    </w:p>
    <w:p>
      <w:pPr>
        <w:pStyle w:val="LO-normal"/>
        <w:widowControl w:val="false"/>
        <w:spacing w:lineRule="auto" w:line="240"/>
        <w:ind w:right="1308" w:hanging="0"/>
        <w:jc w:val="right"/>
        <w:rPr>
          <w:b/>
          <w:color w:val="000000"/>
          <w:sz w:val="24"/>
          <w:szCs w:val="24"/>
        </w:rPr>
      </w:pPr>
      <w:r>
        <w:rPr>
          <w:b/>
          <w:color w:val="000000"/>
          <w:sz w:val="24"/>
          <w:szCs w:val="24"/>
        </w:rPr>
        <w:t xml:space="preserve">Kategorie společné jednotky požární ochrany, její početní stav a vybavení </w:t>
      </w:r>
    </w:p>
    <w:p>
      <w:pPr>
        <w:pStyle w:val="LO-normal"/>
        <w:widowControl w:val="false"/>
        <w:spacing w:lineRule="auto" w:line="228" w:before="311" w:after="0"/>
        <w:ind w:left="1420" w:right="6" w:hanging="553"/>
        <w:rPr>
          <w:color w:val="000000"/>
        </w:rPr>
      </w:pPr>
      <w:r>
        <w:rPr>
          <w:color w:val="000000"/>
        </w:rPr>
        <w:t xml:space="preserve">(1) Kategorie, početní stav a vybavení společné jednotky požární ochrany (čl. 2 odst. 1) jsou uvedeny  v příloze č. 2 vyhlášky. </w:t>
      </w:r>
    </w:p>
    <w:p>
      <w:pPr>
        <w:pStyle w:val="LO-normal"/>
        <w:widowControl w:val="false"/>
        <w:spacing w:lineRule="auto" w:line="228" w:before="259" w:after="0"/>
        <w:ind w:left="1425" w:hanging="558"/>
        <w:jc w:val="both"/>
        <w:rPr>
          <w:color w:val="000000"/>
        </w:rPr>
      </w:pPr>
      <w:r>
        <w:rPr>
          <w:color w:val="000000"/>
        </w:rPr>
        <w:t xml:space="preserve">(2) Členové společné jednotky požární ochrany se při vyhlášení požárního poplachu dostaví ve  stanoveném čase do hasičské stanice na adrese požární zbrojnice Pivovarská 1518, Lysá nad  Labem, anebo na jiné místo, stanovené velitelem této jednotky požární ochrany. </w:t>
      </w:r>
    </w:p>
    <w:p>
      <w:pPr>
        <w:pStyle w:val="LO-normal"/>
        <w:widowControl w:val="false"/>
        <w:spacing w:lineRule="auto" w:line="240" w:before="748" w:after="0"/>
        <w:ind w:right="4928" w:hanging="0"/>
        <w:jc w:val="right"/>
        <w:rPr>
          <w:b/>
          <w:color w:val="000000"/>
          <w:sz w:val="24"/>
          <w:szCs w:val="24"/>
        </w:rPr>
      </w:pPr>
      <w:r>
        <w:rPr>
          <w:b/>
          <w:color w:val="000000"/>
          <w:sz w:val="24"/>
          <w:szCs w:val="24"/>
        </w:rPr>
        <w:t xml:space="preserve">Čl. 6 </w:t>
      </w:r>
    </w:p>
    <w:p>
      <w:pPr>
        <w:pStyle w:val="LO-normal"/>
        <w:widowControl w:val="false"/>
        <w:spacing w:lineRule="auto" w:line="240"/>
        <w:ind w:right="897" w:hanging="0"/>
        <w:jc w:val="right"/>
        <w:rPr>
          <w:b/>
          <w:color w:val="000000"/>
          <w:sz w:val="24"/>
          <w:szCs w:val="24"/>
        </w:rPr>
      </w:pPr>
      <w:r>
        <w:rPr>
          <w:b/>
          <w:color w:val="000000"/>
          <w:sz w:val="24"/>
          <w:szCs w:val="24"/>
        </w:rPr>
        <w:t xml:space="preserve">Přehled o zdrojích vody pro hašení požárů a podmínky jejich trvalé použitelnosti  </w:t>
      </w:r>
    </w:p>
    <w:p>
      <w:pPr>
        <w:pStyle w:val="LO-normal"/>
        <w:widowControl w:val="false"/>
        <w:spacing w:lineRule="auto" w:line="228" w:before="311" w:after="0"/>
        <w:ind w:left="1426" w:hanging="559"/>
        <w:rPr/>
      </w:pPr>
      <w:r>
        <w:rPr/>
        <w:t>(1) Vlastník nebo uživatel zdrojů vody pro hašení požárů je povinen tyto udržovat v takovém stavu,  aby bylo umožněno použití požární techniky a čerpání vody pro hašení požárů</w:t>
      </w:r>
      <w:r>
        <w:rPr>
          <w:vertAlign w:val="superscript"/>
        </w:rPr>
        <w:t>8</w:t>
      </w:r>
      <w:r>
        <w:rPr/>
        <w:t xml:space="preserve">. </w:t>
      </w:r>
    </w:p>
    <w:p>
      <w:pPr>
        <w:pStyle w:val="LO-normal"/>
        <w:widowControl w:val="false"/>
        <w:spacing w:lineRule="auto" w:line="228" w:before="257" w:after="0"/>
        <w:ind w:left="1433" w:right="1" w:hanging="565"/>
        <w:rPr/>
      </w:pPr>
      <w:r>
        <w:rPr/>
        <w:t>(2) Zdroje vody pro hašení požárů stanoví kraj svým nařízením</w:t>
      </w:r>
      <w:r>
        <w:rPr>
          <w:vertAlign w:val="superscript"/>
        </w:rPr>
        <w:t>7</w:t>
      </w:r>
      <w:r>
        <w:rPr/>
        <w:t xml:space="preserve">. Zdroje vody pro hašení požárů na  území obce jsou uvedeny v příloze č. 3 vyhlášky. </w:t>
      </w:r>
    </w:p>
    <w:p>
      <w:pPr>
        <w:pStyle w:val="LO-normal"/>
        <w:widowControl w:val="false"/>
        <w:spacing w:lineRule="auto" w:line="240" w:before="259" w:after="0"/>
        <w:ind w:left="867" w:hanging="0"/>
        <w:rPr>
          <w:color w:val="FF0000"/>
        </w:rPr>
      </w:pPr>
      <w:r>
        <w:rPr/>
        <w:t>(3) Obec nad rámec nařízení kraje stanovila další 3 zdroje vody pro hašení požárů.</w:t>
      </w:r>
    </w:p>
    <w:p>
      <w:pPr>
        <w:pStyle w:val="LO-normal"/>
        <w:widowControl w:val="false"/>
        <w:spacing w:lineRule="auto" w:line="240" w:before="259" w:after="0"/>
        <w:ind w:left="867" w:hanging="0"/>
        <w:rPr>
          <w:color w:val="FF0000"/>
        </w:rPr>
      </w:pPr>
      <w:r>
        <w:rPr>
          <w:color w:val="000000"/>
        </w:rPr>
        <w:t>Zdroje vody pro hašení požárů, jakož i čerpací stanoviště pro požární techniku a vhodné směry příjezdu ke zdrojům vody jsou vyznačeny v plánku v příloze č. 3 vyhlášky, který se v jednom vyhotovení předává jednotce požární ochrany uvedené v čl. 5 a jednotce Hasičského záchranného sboru Středočeského kraje.</w:t>
      </w:r>
    </w:p>
    <w:p>
      <w:pPr>
        <w:pStyle w:val="LO-normal"/>
        <w:widowControl w:val="false"/>
        <w:spacing w:lineRule="auto" w:line="240" w:before="259" w:after="0"/>
        <w:ind w:left="867" w:hanging="0"/>
        <w:rPr>
          <w:color w:val="000000"/>
        </w:rPr>
      </w:pPr>
      <w:r>
        <w:rPr>
          <w:color w:val="000000"/>
        </w:rPr>
        <w:t>(4)</w:t>
        <w:tab/>
        <w:t>Vlastníci nebo uživatelé zdrojů vody, které stanovila obec (čl. 6 odst. 3), jsou povinni oznámit obci:</w:t>
      </w:r>
    </w:p>
    <w:p>
      <w:pPr>
        <w:pStyle w:val="LO-normal"/>
        <w:widowControl w:val="false"/>
        <w:spacing w:lineRule="auto" w:line="240" w:before="259" w:after="0"/>
        <w:ind w:left="867" w:firstLine="573"/>
        <w:rPr>
          <w:color w:val="000000"/>
        </w:rPr>
      </w:pPr>
      <w:r>
        <w:rPr>
          <w:color w:val="000000"/>
        </w:rPr>
        <w:t>a)</w:t>
        <w:tab/>
        <w:t>nejméně 30 dní před plánovaným termínem provádění prací na vodním zdroji, které mohou dočasně omezit jeho využitelnost pro čerpání vody k hašení požárů, a dále předpokládanou dobu těchto prací,</w:t>
      </w:r>
    </w:p>
    <w:p>
      <w:pPr>
        <w:pStyle w:val="LO-normal"/>
        <w:widowControl w:val="false"/>
        <w:spacing w:lineRule="auto" w:line="240" w:before="259" w:after="0"/>
        <w:ind w:left="867" w:firstLine="573"/>
        <w:rPr>
          <w:color w:val="000000"/>
        </w:rPr>
      </w:pPr>
      <w:r>
        <w:rPr>
          <w:color w:val="000000"/>
        </w:rPr>
        <w:t>b)</w:t>
        <w:tab/>
        <w:t>neprodleně vznik mimořádné události na vodním zdroji, která by znemožnila jeho využití k čerpání vody pro hašení požárů.</w:t>
      </w:r>
    </w:p>
    <w:p>
      <w:pPr>
        <w:pStyle w:val="LO-normal"/>
        <w:widowControl w:val="false"/>
        <w:spacing w:lineRule="auto" w:line="240" w:before="486" w:after="0"/>
        <w:ind w:right="4928" w:hanging="0"/>
        <w:jc w:val="right"/>
        <w:rPr>
          <w:b/>
          <w:color w:val="000000"/>
          <w:sz w:val="24"/>
          <w:szCs w:val="24"/>
        </w:rPr>
      </w:pPr>
      <w:r>
        <w:rPr>
          <w:b/>
          <w:color w:val="000000"/>
          <w:sz w:val="24"/>
          <w:szCs w:val="24"/>
        </w:rPr>
        <w:t xml:space="preserve">Čl. 7 </w:t>
      </w:r>
    </w:p>
    <w:p>
      <w:pPr>
        <w:pStyle w:val="LO-normal"/>
        <w:widowControl w:val="false"/>
        <w:spacing w:lineRule="auto" w:line="511"/>
        <w:ind w:left="867" w:right="458" w:firstLine="394"/>
        <w:rPr>
          <w:b/>
          <w:color w:val="000000"/>
          <w:sz w:val="24"/>
          <w:szCs w:val="24"/>
        </w:rPr>
      </w:pPr>
      <w:r>
        <w:rPr>
          <w:b/>
          <w:color w:val="000000"/>
          <w:sz w:val="24"/>
          <w:szCs w:val="24"/>
        </w:rPr>
        <w:t>Seznam ohlašoven požárů a dalších míst, odkud lze hlásit požár, a způsob jejich označení</w:t>
      </w:r>
    </w:p>
    <w:p>
      <w:pPr>
        <w:pStyle w:val="LO-normal"/>
        <w:widowControl w:val="false"/>
        <w:spacing w:lineRule="auto" w:line="511"/>
        <w:ind w:left="867" w:right="458" w:firstLine="394"/>
        <w:rPr/>
      </w:pPr>
      <w:r>
        <w:rPr>
          <w:b/>
          <w:color w:val="000000"/>
        </w:rPr>
        <w:t xml:space="preserve"> </w:t>
      </w:r>
      <w:r>
        <w:rPr>
          <w:color w:val="000000"/>
        </w:rPr>
        <w:t xml:space="preserve">(1) Obec nezřídila ohlašovnu požárů, která by byla trvale označena tabulkou „Ohlašovna požárů”. </w:t>
      </w:r>
    </w:p>
    <w:p>
      <w:pPr>
        <w:pStyle w:val="LO-normal"/>
        <w:widowControl w:val="false"/>
        <w:spacing w:lineRule="auto" w:line="511"/>
        <w:ind w:left="867" w:right="458" w:firstLine="394"/>
        <w:rPr>
          <w:color w:val="000000"/>
        </w:rPr>
      </w:pPr>
      <w:r>
        <w:rPr>
          <w:i/>
          <w:color w:val="000000"/>
        </w:rPr>
        <w:t xml:space="preserve">(2) </w:t>
      </w:r>
      <w:r>
        <w:rPr>
          <w:color w:val="000000"/>
        </w:rPr>
        <w:t>Dalšími místy, kam lze hlásit požár a která jsou trvale označena tabulkou „Zde hlaste požár” nebo  symbolem telefonního čísla „150”</w:t>
      </w:r>
      <w:r>
        <w:rPr/>
        <w:t xml:space="preserve"> nebo</w:t>
      </w:r>
      <w:r>
        <w:rPr>
          <w:color w:val="000000"/>
        </w:rPr>
        <w:t xml:space="preserve"> „112“, jsou: </w:t>
      </w:r>
    </w:p>
    <w:p>
      <w:pPr>
        <w:pStyle w:val="LO-normal"/>
        <w:widowControl w:val="false"/>
        <w:spacing w:lineRule="auto" w:line="240" w:before="125" w:after="0"/>
        <w:ind w:left="1144" w:hanging="0"/>
        <w:rPr>
          <w:color w:val="000000"/>
        </w:rPr>
      </w:pPr>
      <w:r>
        <w:rPr>
          <w:color w:val="000000"/>
        </w:rPr>
        <w:t xml:space="preserve">- Ohlašovna Hasičského záchranného sboru ČR tel. 150 nebo 112 </w:t>
      </w:r>
    </w:p>
    <w:p>
      <w:pPr>
        <w:pStyle w:val="LO-normal"/>
        <w:widowControl w:val="false"/>
        <w:spacing w:lineRule="auto" w:line="240" w:before="116" w:after="0"/>
        <w:ind w:left="1144" w:hanging="0"/>
        <w:rPr/>
      </w:pPr>
      <w:r>
        <w:rPr>
          <w:color w:val="000000"/>
        </w:rPr>
        <w:t>- Služebna městské policie Lysá nad Labem tel</w:t>
      </w:r>
      <w:r>
        <w:rPr>
          <w:color w:val="FF0000"/>
        </w:rPr>
        <w:t xml:space="preserve">. </w:t>
      </w:r>
      <w:r>
        <w:rPr>
          <w:highlight w:val="white"/>
        </w:rPr>
        <w:t xml:space="preserve">325 510 253, </w:t>
      </w:r>
      <w:r>
        <w:rPr/>
        <w:t>325 552 065</w:t>
      </w:r>
    </w:p>
    <w:p>
      <w:pPr>
        <w:pStyle w:val="LO-normal"/>
        <w:widowControl w:val="false"/>
        <w:spacing w:lineRule="auto" w:line="240" w:before="251" w:after="0"/>
        <w:ind w:left="851" w:hanging="0"/>
        <w:rPr>
          <w:color w:val="000000"/>
          <w:sz w:val="24"/>
          <w:szCs w:val="24"/>
        </w:rPr>
      </w:pPr>
      <w:r>
        <w:rPr>
          <w:color w:val="000000"/>
          <w:sz w:val="24"/>
          <w:szCs w:val="24"/>
        </w:rPr>
        <w:t xml:space="preserve">_____________  </w:t>
      </w:r>
    </w:p>
    <w:p>
      <w:pPr>
        <w:pStyle w:val="LO-normal"/>
        <w:widowControl w:val="false"/>
        <w:spacing w:lineRule="auto" w:line="240" w:before="228" w:after="0"/>
        <w:ind w:left="856" w:hanging="0"/>
        <w:rPr>
          <w:color w:val="000000"/>
        </w:rPr>
      </w:pPr>
      <w:r>
        <w:rPr>
          <w:color w:val="17365D"/>
          <w:sz w:val="24"/>
          <w:szCs w:val="24"/>
          <w:vertAlign w:val="superscript"/>
        </w:rPr>
        <w:t>6</w:t>
      </w:r>
      <w:r>
        <w:rPr>
          <w:color w:val="17365D"/>
          <w:vertAlign w:val="superscript"/>
        </w:rPr>
        <w:t xml:space="preserve"> </w:t>
      </w:r>
      <w:r>
        <w:rPr>
          <w:color w:val="000000"/>
        </w:rPr>
        <w:t xml:space="preserve">§ 7 odst. 1 zákona o požární ochraně </w:t>
      </w:r>
    </w:p>
    <w:p>
      <w:pPr>
        <w:pStyle w:val="LO-normal"/>
        <w:widowControl w:val="false"/>
        <w:spacing w:lineRule="auto" w:line="240"/>
        <w:ind w:left="856" w:hanging="0"/>
        <w:rPr>
          <w:color w:val="000000"/>
        </w:rPr>
      </w:pPr>
      <w:r>
        <w:rPr>
          <w:color w:val="000000"/>
          <w:vertAlign w:val="superscript"/>
        </w:rPr>
        <w:t xml:space="preserve">7 </w:t>
      </w:r>
      <w:r>
        <w:rPr>
          <w:color w:val="000000"/>
        </w:rPr>
        <w:t xml:space="preserve">nařízení Stč. </w:t>
      </w:r>
      <w:r>
        <w:rPr/>
        <w:t>kraje č. 3/2020 ze dne 20. dubna 2020</w:t>
      </w:r>
    </w:p>
    <w:p>
      <w:pPr>
        <w:pStyle w:val="LO-normal"/>
        <w:widowControl w:val="false"/>
        <w:spacing w:lineRule="auto" w:line="240"/>
        <w:ind w:left="856" w:hanging="0"/>
        <w:rPr>
          <w:sz w:val="24"/>
          <w:szCs w:val="24"/>
        </w:rPr>
      </w:pPr>
      <w:r>
        <w:rPr>
          <w:sz w:val="24"/>
          <w:szCs w:val="24"/>
        </w:rPr>
      </w:r>
    </w:p>
    <w:p>
      <w:pPr>
        <w:pStyle w:val="LO-normal"/>
        <w:widowControl w:val="false"/>
        <w:spacing w:lineRule="auto" w:line="240"/>
        <w:ind w:right="4928" w:hanging="0"/>
        <w:jc w:val="right"/>
        <w:rPr>
          <w:b/>
          <w:color w:val="000000"/>
          <w:sz w:val="24"/>
          <w:szCs w:val="24"/>
        </w:rPr>
      </w:pPr>
      <w:r>
        <w:rPr>
          <w:b/>
          <w:color w:val="000000"/>
          <w:sz w:val="24"/>
          <w:szCs w:val="24"/>
        </w:rPr>
        <w:t xml:space="preserve">Čl. 8 </w:t>
      </w:r>
    </w:p>
    <w:p>
      <w:pPr>
        <w:pStyle w:val="LO-normal"/>
        <w:widowControl w:val="false"/>
        <w:spacing w:lineRule="auto" w:line="240"/>
        <w:ind w:right="2809" w:hanging="0"/>
        <w:jc w:val="right"/>
        <w:rPr>
          <w:b/>
          <w:color w:val="000000"/>
          <w:sz w:val="24"/>
          <w:szCs w:val="24"/>
        </w:rPr>
      </w:pPr>
      <w:r>
        <w:rPr>
          <w:b/>
          <w:color w:val="000000"/>
          <w:sz w:val="24"/>
          <w:szCs w:val="24"/>
        </w:rPr>
        <w:t xml:space="preserve">Způsob vyhlášení požárního poplachu v obci </w:t>
      </w:r>
    </w:p>
    <w:p>
      <w:pPr>
        <w:pStyle w:val="LO-normal"/>
        <w:widowControl w:val="false"/>
        <w:spacing w:lineRule="auto" w:line="240" w:before="311" w:after="0"/>
        <w:ind w:left="852" w:firstLine="587"/>
        <w:rPr>
          <w:color w:val="000000"/>
        </w:rPr>
      </w:pPr>
      <w:r>
        <w:rPr>
          <w:color w:val="000000"/>
        </w:rPr>
        <w:t xml:space="preserve">Vyhlášení požárního poplachu v obci se provádí:  </w:t>
      </w:r>
    </w:p>
    <w:p>
      <w:pPr>
        <w:pStyle w:val="LO-normal"/>
        <w:widowControl w:val="false"/>
        <w:spacing w:lineRule="auto" w:line="240" w:before="311" w:after="0"/>
        <w:ind w:left="852" w:hanging="0"/>
        <w:rPr/>
      </w:pPr>
      <w:r>
        <w:rPr/>
      </w:r>
    </w:p>
    <w:p>
      <w:pPr>
        <w:pStyle w:val="LO-normal"/>
        <w:widowControl w:val="false"/>
        <w:spacing w:lineRule="auto" w:line="228"/>
        <w:ind w:left="1426" w:hanging="4"/>
        <w:rPr>
          <w:color w:val="000000"/>
        </w:rPr>
      </w:pPr>
      <w:r>
        <w:rPr>
          <w:color w:val="000000"/>
        </w:rPr>
        <w:t xml:space="preserve">signálem „POŽÁRNÍ POPLACH”, který je vyhlašován přerušovaným tónem dálkově  ovládané sirény po dobu jedné minuty (25 sec. tón – 10 sec. pauza – 25 sec. tón)  b) v případě poruchy technických zařízení pro vyhlášení požárního poplachu se požární  poplach v obci vyhlašuje obecním rozhlasem. </w:t>
      </w:r>
    </w:p>
    <w:p>
      <w:pPr>
        <w:pStyle w:val="LO-normal"/>
        <w:widowControl w:val="false"/>
        <w:spacing w:lineRule="auto" w:line="240" w:before="496" w:after="0"/>
        <w:ind w:right="4928" w:hanging="0"/>
        <w:jc w:val="right"/>
        <w:rPr>
          <w:b/>
          <w:color w:val="000000"/>
          <w:sz w:val="24"/>
          <w:szCs w:val="24"/>
        </w:rPr>
      </w:pPr>
      <w:r>
        <w:rPr>
          <w:b/>
          <w:color w:val="000000"/>
          <w:sz w:val="24"/>
          <w:szCs w:val="24"/>
        </w:rPr>
        <w:t xml:space="preserve">Čl. 9 </w:t>
      </w:r>
    </w:p>
    <w:p>
      <w:pPr>
        <w:pStyle w:val="LO-normal"/>
        <w:widowControl w:val="false"/>
        <w:spacing w:lineRule="auto" w:line="240" w:before="56" w:after="0"/>
        <w:ind w:right="2535" w:hanging="0"/>
        <w:jc w:val="right"/>
        <w:rPr>
          <w:b/>
          <w:color w:val="000000"/>
          <w:sz w:val="24"/>
          <w:szCs w:val="24"/>
        </w:rPr>
      </w:pPr>
      <w:r>
        <w:rPr>
          <w:b/>
          <w:color w:val="000000"/>
          <w:sz w:val="24"/>
          <w:szCs w:val="24"/>
        </w:rPr>
        <w:t xml:space="preserve">Seznam sil a prostředků jednotek požární ochrany </w:t>
      </w:r>
    </w:p>
    <w:p>
      <w:pPr>
        <w:pStyle w:val="LO-normal"/>
        <w:widowControl w:val="false"/>
        <w:spacing w:lineRule="auto" w:line="228" w:before="308" w:after="0"/>
        <w:ind w:left="861" w:hanging="0"/>
        <w:rPr>
          <w:color w:val="000000"/>
          <w:sz w:val="24"/>
          <w:szCs w:val="24"/>
        </w:rPr>
      </w:pPr>
      <w:r>
        <w:rPr>
          <w:color w:val="000000"/>
        </w:rPr>
        <w:t>Seznam sil a prostředků jednotek požární ochrany podle výpisu z požárního poplachového plánu  Středočeského kraje je uveden v příloze č. 1 vyhlášky.</w:t>
      </w:r>
      <w:r>
        <w:rPr>
          <w:color w:val="000000"/>
          <w:sz w:val="24"/>
          <w:szCs w:val="24"/>
        </w:rPr>
        <w:t xml:space="preserve"> </w:t>
      </w:r>
    </w:p>
    <w:p>
      <w:pPr>
        <w:pStyle w:val="LO-normal"/>
        <w:widowControl w:val="false"/>
        <w:spacing w:lineRule="auto" w:line="240" w:before="495" w:after="0"/>
        <w:ind w:right="4868" w:hanging="0"/>
        <w:jc w:val="right"/>
        <w:rPr>
          <w:b/>
          <w:color w:val="000000"/>
          <w:sz w:val="24"/>
          <w:szCs w:val="24"/>
        </w:rPr>
      </w:pPr>
      <w:r>
        <w:rPr>
          <w:b/>
          <w:color w:val="000000"/>
          <w:sz w:val="24"/>
          <w:szCs w:val="24"/>
        </w:rPr>
        <w:t xml:space="preserve">Čl. 10 </w:t>
      </w:r>
    </w:p>
    <w:p>
      <w:pPr>
        <w:pStyle w:val="LO-normal"/>
        <w:widowControl w:val="false"/>
        <w:spacing w:lineRule="auto" w:line="240" w:before="54" w:after="0"/>
        <w:ind w:right="4031" w:hanging="0"/>
        <w:jc w:val="right"/>
        <w:rPr>
          <w:b/>
          <w:color w:val="000000"/>
          <w:sz w:val="24"/>
          <w:szCs w:val="24"/>
        </w:rPr>
      </w:pPr>
      <w:r>
        <w:rPr>
          <w:b/>
          <w:color w:val="000000"/>
          <w:sz w:val="24"/>
          <w:szCs w:val="24"/>
        </w:rPr>
        <w:t xml:space="preserve">Zrušovací ustanovení </w:t>
      </w:r>
    </w:p>
    <w:p>
      <w:pPr>
        <w:pStyle w:val="LO-normal"/>
        <w:widowControl w:val="false"/>
        <w:spacing w:lineRule="auto" w:line="240" w:before="251" w:after="0"/>
        <w:ind w:left="857" w:hanging="0"/>
        <w:rPr>
          <w:color w:val="000000"/>
          <w:sz w:val="24"/>
          <w:szCs w:val="24"/>
        </w:rPr>
      </w:pPr>
      <w:r>
        <w:rPr>
          <w:color w:val="000000"/>
          <w:sz w:val="24"/>
          <w:szCs w:val="24"/>
        </w:rPr>
        <w:t xml:space="preserve">Touto vyhláškou se ruší obecně závazná vyhláška č. </w:t>
      </w:r>
      <w:r>
        <w:rPr>
          <w:sz w:val="24"/>
          <w:szCs w:val="24"/>
        </w:rPr>
        <w:t>1</w:t>
      </w:r>
      <w:r>
        <w:rPr>
          <w:color w:val="000000"/>
          <w:sz w:val="24"/>
          <w:szCs w:val="24"/>
        </w:rPr>
        <w:t>/20</w:t>
      </w:r>
      <w:r>
        <w:rPr>
          <w:sz w:val="24"/>
          <w:szCs w:val="24"/>
        </w:rPr>
        <w:t>12</w:t>
      </w:r>
      <w:r>
        <w:rPr>
          <w:color w:val="000000"/>
          <w:sz w:val="24"/>
          <w:szCs w:val="24"/>
        </w:rPr>
        <w:t xml:space="preserve"> ze dne </w:t>
      </w:r>
      <w:r>
        <w:rPr>
          <w:sz w:val="24"/>
          <w:szCs w:val="24"/>
        </w:rPr>
        <w:t>27</w:t>
      </w:r>
      <w:r>
        <w:rPr>
          <w:color w:val="000000"/>
          <w:sz w:val="24"/>
          <w:szCs w:val="24"/>
        </w:rPr>
        <w:t>. 6. 20</w:t>
      </w:r>
      <w:r>
        <w:rPr>
          <w:sz w:val="24"/>
          <w:szCs w:val="24"/>
        </w:rPr>
        <w:t>12</w:t>
      </w:r>
      <w:r>
        <w:rPr>
          <w:color w:val="000000"/>
          <w:sz w:val="24"/>
          <w:szCs w:val="24"/>
        </w:rPr>
        <w:t xml:space="preserve">. </w:t>
      </w:r>
    </w:p>
    <w:p>
      <w:pPr>
        <w:pStyle w:val="LO-normal"/>
        <w:widowControl w:val="false"/>
        <w:spacing w:lineRule="auto" w:line="240" w:before="486" w:after="0"/>
        <w:ind w:right="4868" w:hanging="0"/>
        <w:jc w:val="right"/>
        <w:rPr>
          <w:b/>
          <w:color w:val="000000"/>
          <w:sz w:val="24"/>
          <w:szCs w:val="24"/>
        </w:rPr>
      </w:pPr>
      <w:r>
        <w:rPr>
          <w:b/>
          <w:color w:val="000000"/>
          <w:sz w:val="24"/>
          <w:szCs w:val="24"/>
        </w:rPr>
        <w:t xml:space="preserve">Čl. 11 </w:t>
      </w:r>
    </w:p>
    <w:p>
      <w:pPr>
        <w:pStyle w:val="LO-normal"/>
        <w:widowControl w:val="false"/>
        <w:spacing w:lineRule="auto" w:line="240" w:before="54" w:after="0"/>
        <w:ind w:right="4691" w:hanging="0"/>
        <w:jc w:val="right"/>
        <w:rPr>
          <w:b/>
          <w:color w:val="000000"/>
          <w:sz w:val="24"/>
          <w:szCs w:val="24"/>
        </w:rPr>
      </w:pPr>
      <w:r>
        <w:rPr>
          <w:b/>
          <w:color w:val="000000"/>
          <w:sz w:val="24"/>
          <w:szCs w:val="24"/>
        </w:rPr>
        <w:t xml:space="preserve">Účinnost </w:t>
      </w:r>
    </w:p>
    <w:p>
      <w:pPr>
        <w:pStyle w:val="LO-normal"/>
        <w:widowControl w:val="false"/>
        <w:spacing w:lineRule="auto" w:line="240" w:before="251" w:after="0"/>
        <w:ind w:left="857" w:hanging="0"/>
        <w:rPr>
          <w:color w:val="000000"/>
        </w:rPr>
      </w:pPr>
      <w:r>
        <w:rPr>
          <w:color w:val="000000"/>
        </w:rPr>
        <w:t xml:space="preserve">Tato vyhláška nabývá účinnosti patnáctým dnem po dni jejího vyhlášení. </w:t>
      </w:r>
    </w:p>
    <w:p>
      <w:pPr>
        <w:pStyle w:val="LO-normal"/>
        <w:widowControl w:val="false"/>
        <w:spacing w:lineRule="auto" w:line="228" w:before="1007" w:after="0"/>
        <w:ind w:right="1768" w:hanging="0"/>
        <w:rPr/>
      </w:pPr>
      <w:r>
        <w:rPr>
          <w:color w:val="000000"/>
        </w:rPr>
        <w:tab/>
        <w:t xml:space="preserve"> Mgr. Jana Ka</w:t>
      </w:r>
      <w:r>
        <w:rPr/>
        <w:t>ucká</w:t>
        <w:tab/>
        <w:tab/>
        <w:tab/>
        <w:tab/>
        <w:tab/>
        <w:tab/>
        <w:tab/>
      </w:r>
      <w:r>
        <w:rPr>
          <w:color w:val="000000"/>
        </w:rPr>
        <w:t xml:space="preserve">Ing. </w:t>
      </w:r>
      <w:r>
        <w:rPr/>
        <w:t>Jiří Čenský</w:t>
      </w:r>
    </w:p>
    <w:p>
      <w:pPr>
        <w:pStyle w:val="LO-normal"/>
        <w:widowControl w:val="false"/>
        <w:spacing w:lineRule="auto" w:line="228" w:before="1007" w:after="0"/>
        <w:ind w:left="851" w:right="1768" w:firstLine="25"/>
        <w:rPr>
          <w:color w:val="000000"/>
        </w:rPr>
      </w:pPr>
      <w:r>
        <w:rPr/>
        <w:t>starostka</w:t>
        <w:tab/>
        <w:tab/>
        <w:tab/>
        <w:tab/>
        <w:tab/>
        <w:tab/>
        <w:tab/>
        <w:tab/>
        <w:t>místostarosta</w:t>
      </w:r>
      <w:r>
        <w:rPr>
          <w:color w:val="000000"/>
        </w:rPr>
        <w:t xml:space="preserve"> </w:t>
      </w:r>
    </w:p>
    <w:p>
      <w:pPr>
        <w:pStyle w:val="LO-normal"/>
        <w:widowControl w:val="false"/>
        <w:spacing w:lineRule="auto" w:line="240" w:before="762" w:after="0"/>
        <w:ind w:left="852" w:hanging="0"/>
        <w:rPr>
          <w:color w:val="000000"/>
        </w:rPr>
      </w:pPr>
      <w:r>
        <w:rPr>
          <w:color w:val="000000"/>
        </w:rPr>
        <w:t>Vyvěšeno na úřední desce obecního úřadu dne: 24.10. 2024</w:t>
      </w:r>
    </w:p>
    <w:p>
      <w:pPr>
        <w:pStyle w:val="LO-normal"/>
        <w:widowControl w:val="false"/>
        <w:spacing w:lineRule="auto" w:line="240" w:before="248" w:after="0"/>
        <w:ind w:left="862" w:hanging="0"/>
        <w:rPr/>
      </w:pPr>
      <w:r>
        <w:rPr>
          <w:color w:val="000000"/>
        </w:rPr>
        <w:t>Sejmuto z úřední desky obecního úřadu dne:</w:t>
      </w:r>
      <w:r>
        <w:rPr>
          <w:color w:val="000000"/>
          <w:sz w:val="24"/>
          <w:szCs w:val="24"/>
        </w:rPr>
        <w:t xml:space="preserve"> </w:t>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firstLine="72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tab/>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r>
    </w:p>
    <w:p>
      <w:pPr>
        <w:pStyle w:val="LO-normal"/>
        <w:widowControl w:val="false"/>
        <w:spacing w:lineRule="auto" w:line="240"/>
        <w:ind w:hanging="0"/>
        <w:rPr>
          <w:b/>
          <w:color w:val="000000"/>
          <w:sz w:val="28"/>
          <w:szCs w:val="28"/>
        </w:rPr>
      </w:pPr>
      <w:r>
        <w:rPr>
          <w:b/>
          <w:color w:val="000000"/>
          <w:sz w:val="28"/>
          <w:szCs w:val="28"/>
        </w:rPr>
        <w:tab/>
        <w:t xml:space="preserve">Příloha č. 1 k obecně závazné vyhlášce, kterou se vydává požární řád </w:t>
      </w:r>
    </w:p>
    <w:p>
      <w:pPr>
        <w:pStyle w:val="LO-normal"/>
        <w:widowControl w:val="false"/>
        <w:spacing w:lineRule="auto" w:line="240"/>
        <w:ind w:left="868" w:hanging="0"/>
        <w:rPr>
          <w:b/>
          <w:sz w:val="24"/>
          <w:szCs w:val="24"/>
        </w:rPr>
      </w:pPr>
      <w:r>
        <w:rPr>
          <w:b/>
          <w:sz w:val="24"/>
          <w:szCs w:val="24"/>
        </w:rPr>
      </w:r>
    </w:p>
    <w:p>
      <w:pPr>
        <w:pStyle w:val="LO-normal"/>
        <w:widowControl w:val="false"/>
        <w:spacing w:lineRule="auto" w:line="228" w:before="116" w:after="0"/>
        <w:ind w:left="866" w:hanging="4"/>
        <w:rPr>
          <w:color w:val="000000"/>
          <w:sz w:val="24"/>
          <w:szCs w:val="24"/>
        </w:rPr>
      </w:pPr>
      <w:r>
        <w:rPr>
          <w:color w:val="000000"/>
          <w:sz w:val="24"/>
          <w:szCs w:val="24"/>
        </w:rPr>
        <w:t xml:space="preserve">Seznam sil a prostředků jednotek požární ochrany z požárního poplachového plánu </w:t>
      </w:r>
    </w:p>
    <w:p>
      <w:pPr>
        <w:pStyle w:val="LO-normal"/>
        <w:widowControl w:val="false"/>
        <w:spacing w:lineRule="auto" w:line="228" w:before="116" w:after="0"/>
        <w:ind w:left="866" w:hanging="4"/>
        <w:rPr>
          <w:color w:val="000000"/>
          <w:sz w:val="24"/>
          <w:szCs w:val="24"/>
        </w:rPr>
      </w:pPr>
      <w:r>
        <w:rPr>
          <w:color w:val="000000"/>
          <w:sz w:val="24"/>
          <w:szCs w:val="24"/>
        </w:rPr>
        <w:t xml:space="preserve">Středočeského  kraje. </w:t>
      </w:r>
    </w:p>
    <w:p>
      <w:pPr>
        <w:pStyle w:val="LO-normal"/>
        <w:widowControl w:val="false"/>
        <w:spacing w:lineRule="auto" w:line="228" w:before="116" w:after="0"/>
        <w:ind w:left="866" w:hanging="4"/>
        <w:rPr>
          <w:sz w:val="24"/>
          <w:szCs w:val="24"/>
        </w:rPr>
      </w:pPr>
      <w:r>
        <w:rPr>
          <w:sz w:val="24"/>
          <w:szCs w:val="24"/>
        </w:rPr>
      </w:r>
    </w:p>
    <w:p>
      <w:pPr>
        <w:pStyle w:val="LO-normal"/>
        <w:widowControl w:val="false"/>
        <w:spacing w:lineRule="auto" w:line="240" w:before="248" w:after="0"/>
        <w:ind w:left="851" w:right="128" w:firstLine="4"/>
        <w:rPr>
          <w:color w:val="000000"/>
          <w:sz w:val="24"/>
          <w:szCs w:val="24"/>
        </w:rPr>
      </w:pPr>
      <w:r>
        <w:rPr>
          <w:color w:val="000000"/>
          <w:sz w:val="24"/>
          <w:szCs w:val="24"/>
        </w:rPr>
        <w:t xml:space="preserve">V závislosti na stupni poplachu zasahují v obci </w:t>
      </w:r>
      <w:r>
        <w:rPr>
          <w:sz w:val="24"/>
          <w:szCs w:val="24"/>
        </w:rPr>
        <w:t>Ostrá</w:t>
      </w:r>
      <w:r>
        <w:rPr>
          <w:color w:val="000000"/>
          <w:sz w:val="24"/>
          <w:szCs w:val="24"/>
        </w:rPr>
        <w:t xml:space="preserve"> tyto jednotky požární ochrany:</w:t>
      </w:r>
    </w:p>
    <w:p>
      <w:pPr>
        <w:pStyle w:val="LO-normal"/>
        <w:widowControl w:val="false"/>
        <w:spacing w:lineRule="auto" w:line="240" w:before="248" w:after="0"/>
        <w:ind w:left="851" w:right="128" w:firstLine="4"/>
        <w:rPr>
          <w:sz w:val="24"/>
          <w:szCs w:val="24"/>
        </w:rPr>
      </w:pPr>
      <w:r>
        <w:rPr>
          <w:sz w:val="24"/>
          <w:szCs w:val="24"/>
        </w:rPr>
      </w:r>
    </w:p>
    <w:p>
      <w:pPr>
        <w:pStyle w:val="LO-normal"/>
        <w:widowControl w:val="false"/>
        <w:spacing w:lineRule="auto" w:line="240" w:before="248" w:after="0"/>
        <w:ind w:left="851" w:right="128" w:firstLine="4"/>
        <w:rPr>
          <w:color w:val="000000"/>
          <w:sz w:val="24"/>
          <w:szCs w:val="24"/>
        </w:rPr>
      </w:pPr>
      <w:r>
        <w:rPr>
          <w:sz w:val="24"/>
          <w:szCs w:val="24"/>
        </w:rPr>
        <w:t xml:space="preserve">(zdroj: </w:t>
      </w:r>
      <w:hyperlink r:id="rId2">
        <w:r>
          <w:rPr>
            <w:color w:val="1155CC"/>
            <w:sz w:val="24"/>
            <w:szCs w:val="24"/>
            <w:u w:val="single"/>
          </w:rPr>
          <w:t>HZS Středočeského kraje - Soubory ke stažení - Hasičský záchranný sbor České republiky (hzscr.cz)</w:t>
        </w:r>
      </w:hyperlink>
      <w:r>
        <w:rPr>
          <w:sz w:val="24"/>
          <w:szCs w:val="24"/>
        </w:rPr>
        <w:t>)</w:t>
      </w:r>
    </w:p>
    <w:p>
      <w:pPr>
        <w:pStyle w:val="LO-normal"/>
        <w:widowControl w:val="false"/>
        <w:numPr>
          <w:ilvl w:val="0"/>
          <w:numId w:val="1"/>
        </w:numPr>
        <w:spacing w:lineRule="auto" w:line="240" w:before="248" w:after="0"/>
        <w:ind w:left="1440" w:right="128" w:hanging="360"/>
        <w:rPr>
          <w:sz w:val="24"/>
          <w:szCs w:val="24"/>
        </w:rPr>
      </w:pPr>
      <w:r>
        <w:rPr>
          <w:sz w:val="24"/>
          <w:szCs w:val="24"/>
        </w:rPr>
        <w:t>stupeň</w:t>
        <w:tab/>
        <w:tab/>
        <w:t>2. stupeň</w:t>
        <w:tab/>
        <w:tab/>
        <w:t>3. stupeň</w:t>
        <w:tab/>
        <w:tab/>
        <w:tab/>
        <w:t>zvláštní stupeň</w:t>
      </w:r>
    </w:p>
    <w:p>
      <w:pPr>
        <w:pStyle w:val="LO-normal"/>
        <w:widowControl w:val="false"/>
        <w:numPr>
          <w:ilvl w:val="0"/>
          <w:numId w:val="2"/>
        </w:numPr>
        <w:spacing w:lineRule="auto" w:line="240"/>
        <w:ind w:left="1440" w:right="128" w:hanging="360"/>
        <w:rPr>
          <w:sz w:val="24"/>
          <w:szCs w:val="24"/>
        </w:rPr>
      </w:pPr>
      <w:r>
        <w:rPr>
          <w:sz w:val="24"/>
          <w:szCs w:val="24"/>
        </w:rPr>
        <w:t>Lysá n.L.</w:t>
        <w:tab/>
        <w:tab/>
        <w:t>- Semice</w:t>
        <w:tab/>
        <w:tab/>
        <w:t>- stanice Český Brod</w:t>
        <w:tab/>
      </w:r>
      <w:r>
        <w:rPr>
          <w:sz w:val="20"/>
          <w:szCs w:val="20"/>
        </w:rPr>
        <w:t>- stanice Stará Boleslav</w:t>
      </w:r>
    </w:p>
    <w:p>
      <w:pPr>
        <w:pStyle w:val="LO-normal"/>
        <w:widowControl w:val="false"/>
        <w:numPr>
          <w:ilvl w:val="0"/>
          <w:numId w:val="2"/>
        </w:numPr>
        <w:spacing w:lineRule="auto" w:line="240"/>
        <w:ind w:left="1440" w:right="128" w:hanging="360"/>
        <w:rPr>
          <w:sz w:val="24"/>
          <w:szCs w:val="24"/>
        </w:rPr>
      </w:pPr>
      <w:r>
        <w:rPr>
          <w:sz w:val="24"/>
          <w:szCs w:val="24"/>
        </w:rPr>
        <w:t>stanice Milovice</w:t>
        <w:tab/>
        <w:t>- Milovice</w:t>
        <w:tab/>
        <w:tab/>
        <w:t>- Nymburk</w:t>
        <w:tab/>
        <w:tab/>
        <w:tab/>
        <w:t>- Skorkov</w:t>
      </w:r>
    </w:p>
    <w:p>
      <w:pPr>
        <w:pStyle w:val="LO-normal"/>
        <w:widowControl w:val="false"/>
        <w:numPr>
          <w:ilvl w:val="0"/>
          <w:numId w:val="2"/>
        </w:numPr>
        <w:spacing w:lineRule="auto" w:line="240"/>
        <w:ind w:left="1440" w:right="128" w:hanging="360"/>
        <w:rPr>
          <w:sz w:val="24"/>
          <w:szCs w:val="24"/>
        </w:rPr>
      </w:pPr>
      <w:r>
        <w:rPr>
          <w:sz w:val="24"/>
          <w:szCs w:val="24"/>
        </w:rPr>
        <w:t>Stanice Nymburk</w:t>
        <w:tab/>
        <w:t>- Hronětice</w:t>
        <w:tab/>
        <w:tab/>
        <w:t>- Sojovice</w:t>
        <w:tab/>
        <w:tab/>
        <w:tab/>
        <w:t>- stanice Poděbrady</w:t>
      </w:r>
    </w:p>
    <w:p>
      <w:pPr>
        <w:pStyle w:val="LO-normal"/>
        <w:widowControl w:val="false"/>
        <w:numPr>
          <w:ilvl w:val="0"/>
          <w:numId w:val="2"/>
        </w:numPr>
        <w:spacing w:lineRule="auto" w:line="240"/>
        <w:ind w:left="1440" w:right="128" w:hanging="360"/>
        <w:rPr>
          <w:sz w:val="24"/>
          <w:szCs w:val="24"/>
        </w:rPr>
      </w:pPr>
      <w:r>
        <w:rPr>
          <w:sz w:val="24"/>
          <w:szCs w:val="24"/>
        </w:rPr>
        <w:t>SŽ Nymburk</w:t>
        <w:tab/>
        <w:tab/>
        <w:t>- Přerov n.L.</w:t>
        <w:tab/>
        <w:tab/>
        <w:t>- Kounice</w:t>
        <w:tab/>
        <w:tab/>
        <w:tab/>
        <w:t>- Poříčany</w:t>
      </w:r>
    </w:p>
    <w:p>
      <w:pPr>
        <w:pStyle w:val="LO-normal"/>
        <w:widowControl w:val="false"/>
        <w:numPr>
          <w:ilvl w:val="0"/>
          <w:numId w:val="2"/>
        </w:numPr>
        <w:spacing w:lineRule="auto" w:line="240"/>
        <w:ind w:left="1440" w:right="128" w:hanging="360"/>
        <w:rPr>
          <w:sz w:val="24"/>
          <w:szCs w:val="24"/>
        </w:rPr>
      </w:pPr>
      <w:r>
        <w:rPr>
          <w:sz w:val="24"/>
          <w:szCs w:val="24"/>
        </w:rPr>
        <w:t xml:space="preserve">                                 </w:t>
      </w:r>
      <w:r>
        <w:rPr>
          <w:sz w:val="24"/>
          <w:szCs w:val="24"/>
        </w:rPr>
        <w:t xml:space="preserve">- </w:t>
      </w:r>
      <w:r>
        <w:rPr>
          <w:sz w:val="20"/>
          <w:szCs w:val="20"/>
        </w:rPr>
        <w:t>Stanice Benátky n. J.</w:t>
      </w:r>
      <w:r>
        <w:rPr>
          <w:sz w:val="24"/>
          <w:szCs w:val="24"/>
        </w:rPr>
        <w:t xml:space="preserve">  - Bříství</w:t>
        <w:tab/>
        <w:tab/>
        <w:tab/>
        <w:t>- Čelákovice</w:t>
      </w:r>
    </w:p>
    <w:p>
      <w:pPr>
        <w:pStyle w:val="LO-normal"/>
        <w:widowControl w:val="false"/>
        <w:numPr>
          <w:ilvl w:val="0"/>
          <w:numId w:val="2"/>
        </w:numPr>
        <w:spacing w:lineRule="auto" w:line="240"/>
        <w:ind w:left="1440" w:right="128" w:hanging="360"/>
        <w:rPr>
          <w:sz w:val="24"/>
          <w:szCs w:val="24"/>
        </w:rPr>
      </w:pPr>
      <w:r>
        <w:rPr>
          <w:sz w:val="24"/>
          <w:szCs w:val="24"/>
        </w:rPr>
        <w:t xml:space="preserve">                                 </w:t>
      </w:r>
      <w:r>
        <w:rPr>
          <w:sz w:val="24"/>
          <w:szCs w:val="24"/>
        </w:rPr>
        <w:t>- Stará Lysá</w:t>
      </w:r>
    </w:p>
    <w:p>
      <w:pPr>
        <w:pStyle w:val="LO-normal"/>
        <w:widowControl w:val="false"/>
        <w:numPr>
          <w:ilvl w:val="0"/>
          <w:numId w:val="2"/>
        </w:numPr>
        <w:spacing w:lineRule="auto" w:line="240"/>
        <w:ind w:left="1440" w:right="128" w:hanging="360"/>
        <w:rPr>
          <w:sz w:val="24"/>
          <w:szCs w:val="24"/>
        </w:rPr>
      </w:pPr>
      <w:r>
        <w:rPr>
          <w:sz w:val="24"/>
          <w:szCs w:val="24"/>
        </w:rPr>
      </w:r>
    </w:p>
    <w:p>
      <w:pPr>
        <w:pStyle w:val="LO-normal"/>
        <w:widowControl w:val="false"/>
        <w:spacing w:lineRule="auto" w:line="240" w:before="248" w:after="0"/>
        <w:ind w:right="128" w:firstLine="720"/>
        <w:rPr>
          <w:b/>
          <w:sz w:val="28"/>
          <w:szCs w:val="28"/>
        </w:rPr>
      </w:pPr>
      <w:r>
        <w:rPr>
          <w:b/>
          <w:sz w:val="28"/>
          <w:szCs w:val="28"/>
        </w:rPr>
        <w:t xml:space="preserve">Příloha č. 2 k obecně závazné vyhlášce, kterou se vydává požární řád </w:t>
      </w:r>
    </w:p>
    <w:p>
      <w:pPr>
        <w:pStyle w:val="LO-normal"/>
        <w:widowControl w:val="false"/>
        <w:spacing w:lineRule="auto" w:line="240" w:before="248" w:after="0"/>
        <w:ind w:left="850" w:right="128" w:hanging="0"/>
        <w:rPr/>
      </w:pPr>
      <w:r>
        <w:rPr/>
        <w:t xml:space="preserve">Požární technika a věcné prostředky požární ochrany společné jednotky požární ochrany: JPO SDH </w:t>
      </w:r>
    </w:p>
    <w:p>
      <w:pPr>
        <w:pStyle w:val="LO-normal"/>
        <w:widowControl w:val="false"/>
        <w:spacing w:lineRule="auto" w:line="240" w:before="248" w:after="0"/>
        <w:ind w:left="850" w:right="128" w:hanging="0"/>
        <w:rPr/>
      </w:pPr>
      <w:r>
        <w:rPr/>
        <w:t>Lysá nad Labem</w:t>
      </w:r>
    </w:p>
    <w:p>
      <w:pPr>
        <w:pStyle w:val="LO-normal"/>
        <w:widowControl w:val="false"/>
        <w:spacing w:lineRule="auto" w:line="240" w:before="248" w:after="0"/>
        <w:ind w:left="850" w:right="128" w:hanging="0"/>
        <w:rPr/>
      </w:pPr>
      <w:r>
        <w:rPr/>
      </w:r>
    </w:p>
    <w:p>
      <w:pPr>
        <w:pStyle w:val="LO-normal"/>
        <w:widowControl w:val="false"/>
        <w:spacing w:lineRule="auto" w:line="240" w:before="143" w:after="0"/>
        <w:ind w:left="868" w:hanging="0"/>
        <w:rPr/>
      </w:pPr>
      <w:r>
        <w:rPr/>
        <w:t xml:space="preserve">Město Lysá nad Labem zřídilo JPO SDH s dislokací: </w:t>
      </w:r>
    </w:p>
    <w:p>
      <w:pPr>
        <w:pStyle w:val="LO-normal"/>
        <w:widowControl w:val="false"/>
        <w:spacing w:lineRule="auto" w:line="240" w:before="143" w:after="0"/>
        <w:ind w:left="868" w:hanging="0"/>
        <w:rPr/>
      </w:pPr>
      <w:r>
        <w:rPr/>
      </w:r>
    </w:p>
    <w:p>
      <w:pPr>
        <w:pStyle w:val="LO-normal"/>
        <w:widowControl w:val="false"/>
        <w:spacing w:lineRule="auto" w:line="240" w:before="11" w:after="0"/>
        <w:ind w:left="863" w:hanging="0"/>
        <w:rPr>
          <w:u w:val="single"/>
        </w:rPr>
      </w:pPr>
      <w:r>
        <w:rPr>
          <w:rFonts w:eastAsia="Noto Sans Symbols" w:cs="Noto Sans Symbols" w:ascii="Noto Sans Symbols" w:hAnsi="Noto Sans Symbols"/>
          <w:u w:val="single"/>
        </w:rPr>
        <w:t xml:space="preserve">∙ </w:t>
      </w:r>
      <w:r>
        <w:rPr>
          <w:u w:val="single"/>
        </w:rPr>
        <w:t xml:space="preserve">požární zbrojnice Pivovarská 1518, Lysá nad Labem </w:t>
      </w:r>
    </w:p>
    <w:p>
      <w:pPr>
        <w:pStyle w:val="LO-normal"/>
        <w:widowControl w:val="false"/>
        <w:spacing w:lineRule="auto" w:line="240"/>
        <w:ind w:left="851" w:hanging="0"/>
        <w:rPr/>
      </w:pPr>
      <w:r>
        <w:rPr/>
        <w:t xml:space="preserve"> </w:t>
      </w:r>
      <w:r>
        <w:rPr/>
        <w:t xml:space="preserve">kategorie JPO II/1, 28 členů, počet členů v pohotovosti 4  </w:t>
      </w:r>
    </w:p>
    <w:p>
      <w:pPr>
        <w:pStyle w:val="LO-normal"/>
        <w:widowControl w:val="false"/>
        <w:spacing w:lineRule="auto" w:line="240" w:before="131" w:after="0"/>
        <w:ind w:left="863" w:hanging="0"/>
        <w:rPr/>
      </w:pPr>
      <w:r>
        <w:rPr>
          <w:rFonts w:eastAsia="Noto Sans Symbols" w:cs="Noto Sans Symbols" w:ascii="Noto Sans Symbols" w:hAnsi="Noto Sans Symbols"/>
        </w:rPr>
        <w:t>∙</w:t>
      </w:r>
      <w:r>
        <w:rPr>
          <w:rFonts w:eastAsia="Noto Sans Symbols" w:cs="Noto Sans Symbols" w:ascii="Noto Sans Symbols" w:hAnsi="Noto Sans Symbols"/>
          <w:u w:val="single"/>
        </w:rPr>
        <w:t xml:space="preserve"> </w:t>
      </w:r>
      <w:r>
        <w:rPr>
          <w:u w:val="single"/>
        </w:rPr>
        <w:t>požární zbrojnice Byšičky</w:t>
      </w:r>
      <w:r>
        <w:rPr/>
        <w:t xml:space="preserve">  </w:t>
      </w:r>
    </w:p>
    <w:p>
      <w:pPr>
        <w:pStyle w:val="LO-normal"/>
        <w:widowControl w:val="false"/>
        <w:spacing w:lineRule="auto" w:line="240"/>
        <w:ind w:left="851" w:hanging="0"/>
        <w:rPr/>
      </w:pPr>
      <w:r>
        <w:rPr/>
        <w:t xml:space="preserve"> </w:t>
      </w:r>
      <w:r>
        <w:rPr/>
        <w:t xml:space="preserve">kategorie JPO V, 9 členů, počet členů v pohotovosti 4 </w:t>
      </w:r>
    </w:p>
    <w:p>
      <w:pPr>
        <w:pStyle w:val="LO-normal"/>
        <w:widowControl w:val="false"/>
        <w:spacing w:lineRule="auto" w:line="240"/>
        <w:ind w:left="851" w:hanging="0"/>
        <w:rPr/>
      </w:pPr>
      <w:r>
        <w:rPr/>
      </w:r>
    </w:p>
    <w:p>
      <w:pPr>
        <w:pStyle w:val="LO-normal"/>
        <w:widowControl w:val="false"/>
        <w:spacing w:lineRule="auto" w:line="240"/>
        <w:ind w:firstLine="720"/>
        <w:rPr>
          <w:b/>
          <w:sz w:val="26"/>
          <w:szCs w:val="26"/>
        </w:rPr>
      </w:pPr>
      <w:r>
        <w:rPr>
          <w:b/>
          <w:sz w:val="26"/>
          <w:szCs w:val="26"/>
        </w:rPr>
      </w:r>
    </w:p>
    <w:p>
      <w:pPr>
        <w:pStyle w:val="LO-normal"/>
        <w:widowControl w:val="false"/>
        <w:spacing w:lineRule="auto" w:line="240"/>
        <w:rPr>
          <w:b/>
          <w:color w:val="000000"/>
          <w:sz w:val="28"/>
          <w:szCs w:val="28"/>
        </w:rPr>
      </w:pPr>
      <w:r>
        <w:rPr>
          <w:b/>
          <w:color w:val="000000"/>
          <w:sz w:val="28"/>
          <w:szCs w:val="28"/>
        </w:rPr>
        <w:tab/>
        <w:t xml:space="preserve">Příloha č. 3 k obecně závazné vyhlášky, kterou se vydává požární řád </w:t>
      </w:r>
    </w:p>
    <w:p>
      <w:pPr>
        <w:pStyle w:val="LO-normal"/>
        <w:widowControl w:val="false"/>
        <w:spacing w:lineRule="auto" w:line="228" w:before="117" w:after="0"/>
        <w:ind w:left="1587" w:right="2" w:hanging="371"/>
        <w:rPr>
          <w:color w:val="000000"/>
        </w:rPr>
      </w:pPr>
      <w:r>
        <w:rPr>
          <w:color w:val="000000"/>
        </w:rPr>
        <w:t xml:space="preserve">A) Přehled zdrojů vody </w:t>
      </w:r>
    </w:p>
    <w:p>
      <w:pPr>
        <w:pStyle w:val="LO-normal"/>
        <w:widowControl w:val="false"/>
        <w:spacing w:lineRule="auto" w:line="228" w:before="117" w:after="0"/>
        <w:ind w:left="2307" w:right="2" w:hanging="371"/>
        <w:rPr/>
      </w:pPr>
      <w:r>
        <w:rPr/>
        <w:t>PŘIROZENÉ</w:t>
      </w:r>
    </w:p>
    <w:p>
      <w:pPr>
        <w:pStyle w:val="LO-normal"/>
        <w:widowControl w:val="false"/>
        <w:spacing w:lineRule="auto" w:line="228" w:before="117" w:after="0"/>
        <w:ind w:left="1587" w:right="2" w:hanging="371"/>
        <w:rPr/>
      </w:pPr>
      <w:r>
        <w:rPr/>
      </w:r>
    </w:p>
    <w:tbl>
      <w:tblPr>
        <w:tblStyle w:val="TableNormal"/>
        <w:tblW w:w="10370" w:type="dxa"/>
        <w:jc w:val="left"/>
        <w:tblInd w:w="849" w:type="dxa"/>
        <w:tblLayout w:type="fixed"/>
        <w:tblCellMar>
          <w:top w:w="100" w:type="dxa"/>
          <w:left w:w="100" w:type="dxa"/>
          <w:bottom w:w="100" w:type="dxa"/>
          <w:right w:w="100" w:type="dxa"/>
        </w:tblCellMar>
        <w:tblLook w:firstRow="0" w:noVBand="1" w:lastRow="0" w:firstColumn="0" w:lastColumn="0" w:noHBand="1" w:val="0600"/>
      </w:tblPr>
      <w:tblGrid>
        <w:gridCol w:w="780"/>
        <w:gridCol w:w="1590"/>
        <w:gridCol w:w="2629"/>
        <w:gridCol w:w="2349"/>
        <w:gridCol w:w="3022"/>
      </w:tblGrid>
      <w:tr>
        <w:trPr>
          <w:trHeight w:val="515" w:hRule="atLeast"/>
        </w:trPr>
        <w:tc>
          <w:tcPr>
            <w:tcW w:w="78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753" w:hanging="0"/>
              <w:jc w:val="right"/>
              <w:rPr>
                <w:b/>
                <w:color w:val="000000"/>
                <w:sz w:val="20"/>
                <w:szCs w:val="20"/>
              </w:rPr>
            </w:pPr>
            <w:r>
              <w:rPr>
                <w:b/>
                <w:color w:val="000000"/>
                <w:sz w:val="20"/>
                <w:szCs w:val="20"/>
              </w:rPr>
            </w:r>
          </w:p>
        </w:tc>
        <w:tc>
          <w:tcPr>
            <w:tcW w:w="159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753" w:hanging="0"/>
              <w:jc w:val="right"/>
              <w:rPr>
                <w:b/>
                <w:color w:val="000000"/>
                <w:sz w:val="20"/>
                <w:szCs w:val="20"/>
              </w:rPr>
            </w:pPr>
            <w:r>
              <w:rPr>
                <w:b/>
                <w:color w:val="000000"/>
                <w:sz w:val="20"/>
                <w:szCs w:val="20"/>
              </w:rPr>
            </w:r>
          </w:p>
        </w:tc>
        <w:tc>
          <w:tcPr>
            <w:tcW w:w="26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color w:val="000000"/>
                <w:sz w:val="18"/>
                <w:szCs w:val="18"/>
              </w:rPr>
            </w:pPr>
            <w:r>
              <w:rPr>
                <w:rFonts w:eastAsia="Arial" w:cs="Arial"/>
                <w:b/>
                <w:color w:val="000000"/>
                <w:kern w:val="0"/>
                <w:sz w:val="18"/>
                <w:szCs w:val="18"/>
                <w:lang w:val="cs-CZ" w:eastAsia="zh-CN" w:bidi="hi-IN"/>
              </w:rPr>
              <w:t>druh vodního zdroje</w:t>
            </w:r>
          </w:p>
        </w:tc>
        <w:tc>
          <w:tcPr>
            <w:tcW w:w="537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color w:val="000000"/>
                <w:sz w:val="20"/>
                <w:szCs w:val="20"/>
              </w:rPr>
            </w:pPr>
            <w:r>
              <w:rPr>
                <w:rFonts w:eastAsia="Arial" w:cs="Arial"/>
                <w:b/>
                <w:color w:val="000000"/>
                <w:kern w:val="0"/>
                <w:sz w:val="20"/>
                <w:szCs w:val="20"/>
                <w:lang w:val="cs-CZ" w:eastAsia="zh-CN" w:bidi="hi-IN"/>
              </w:rPr>
              <w:t>popis umístění</w:t>
            </w:r>
          </w:p>
        </w:tc>
      </w:tr>
      <w:tr>
        <w:trPr>
          <w:trHeight w:val="515" w:hRule="atLeast"/>
        </w:trPr>
        <w:tc>
          <w:tcPr>
            <w:tcW w:w="78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1</w:t>
            </w:r>
          </w:p>
        </w:tc>
        <w:tc>
          <w:tcPr>
            <w:tcW w:w="159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b/>
                <w:sz w:val="20"/>
                <w:szCs w:val="20"/>
              </w:rPr>
              <w:t>Ostrá</w:t>
            </w:r>
          </w:p>
        </w:tc>
        <w:tc>
          <w:tcPr>
            <w:tcW w:w="26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b/>
                <w:sz w:val="20"/>
                <w:szCs w:val="20"/>
              </w:rPr>
              <w:t>vodní plocha - Jezero Ostrá</w:t>
            </w:r>
          </w:p>
        </w:tc>
        <w:tc>
          <w:tcPr>
            <w:tcW w:w="234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50.1785667N,</w:t>
            </w:r>
          </w:p>
        </w:tc>
        <w:tc>
          <w:tcPr>
            <w:tcW w:w="302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14.8979717E</w:t>
            </w:r>
          </w:p>
        </w:tc>
      </w:tr>
      <w:tr>
        <w:trPr>
          <w:trHeight w:val="515" w:hRule="atLeast"/>
        </w:trPr>
        <w:tc>
          <w:tcPr>
            <w:tcW w:w="780"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2</w:t>
            </w:r>
          </w:p>
        </w:tc>
        <w:tc>
          <w:tcPr>
            <w:tcW w:w="159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20"/>
                <w:szCs w:val="20"/>
                <w:lang w:val="cs-CZ" w:eastAsia="zh-CN" w:bidi="hi-IN"/>
              </w:rPr>
              <w:t>Šnepov</w:t>
            </w:r>
          </w:p>
        </w:tc>
        <w:tc>
          <w:tcPr>
            <w:tcW w:w="2629"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kal - Šnepov</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50.1806664N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14.9247164E</w:t>
            </w:r>
          </w:p>
        </w:tc>
      </w:tr>
      <w:tr>
        <w:trPr>
          <w:trHeight w:val="515" w:hRule="atLeast"/>
        </w:trPr>
        <w:tc>
          <w:tcPr>
            <w:tcW w:w="780"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3</w:t>
            </w:r>
          </w:p>
        </w:tc>
        <w:tc>
          <w:tcPr>
            <w:tcW w:w="159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20"/>
                <w:szCs w:val="20"/>
                <w:lang w:val="cs-CZ" w:eastAsia="zh-CN" w:bidi="hi-IN"/>
              </w:rPr>
              <w:t>Ostrá</w:t>
            </w:r>
          </w:p>
        </w:tc>
        <w:tc>
          <w:tcPr>
            <w:tcW w:w="2629"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vodní plocha- tůň Doubka</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50.1731358N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14.8706089E</w:t>
            </w:r>
          </w:p>
        </w:tc>
      </w:tr>
      <w:tr>
        <w:trPr>
          <w:trHeight w:val="515" w:hRule="atLeast"/>
        </w:trPr>
        <w:tc>
          <w:tcPr>
            <w:tcW w:w="780"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4</w:t>
            </w:r>
          </w:p>
        </w:tc>
        <w:tc>
          <w:tcPr>
            <w:tcW w:w="159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b/>
                <w:sz w:val="20"/>
                <w:szCs w:val="20"/>
              </w:rPr>
              <w:t>Šnepov</w:t>
            </w:r>
          </w:p>
        </w:tc>
        <w:tc>
          <w:tcPr>
            <w:tcW w:w="2629"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b/>
                <w:sz w:val="20"/>
                <w:szCs w:val="20"/>
              </w:rPr>
              <w:t>tůň Králíček (Farský potok)</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50.1784128N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14,9227939E</w:t>
            </w:r>
          </w:p>
        </w:tc>
      </w:tr>
    </w:tbl>
    <w:p>
      <w:pPr>
        <w:pStyle w:val="LO-normal"/>
        <w:widowControl w:val="false"/>
        <w:rPr>
          <w:color w:val="000000"/>
          <w:sz w:val="20"/>
          <w:szCs w:val="20"/>
        </w:rPr>
      </w:pPr>
      <w:r>
        <w:rPr>
          <w:color w:val="000000"/>
          <w:sz w:val="20"/>
          <w:szCs w:val="20"/>
        </w:rPr>
      </w:r>
    </w:p>
    <w:p>
      <w:pPr>
        <w:pStyle w:val="LO-normal"/>
        <w:widowControl w:val="false"/>
        <w:ind w:left="1440" w:firstLine="720"/>
        <w:rPr/>
      </w:pPr>
      <w:r>
        <w:rPr/>
      </w:r>
    </w:p>
    <w:p>
      <w:pPr>
        <w:pStyle w:val="LO-normal"/>
        <w:widowControl w:val="false"/>
        <w:ind w:left="1440" w:firstLine="720"/>
        <w:rPr/>
      </w:pPr>
      <w:r>
        <w:rPr/>
        <w:t>UMĚLÉ</w:t>
      </w:r>
    </w:p>
    <w:p>
      <w:pPr>
        <w:pStyle w:val="LO-normal"/>
        <w:widowControl w:val="false"/>
        <w:ind w:left="1440" w:firstLine="720"/>
        <w:rPr/>
      </w:pPr>
      <w:r>
        <w:rPr/>
      </w:r>
    </w:p>
    <w:tbl>
      <w:tblPr>
        <w:tblStyle w:val="TableNormal"/>
        <w:tblW w:w="10490" w:type="dxa"/>
        <w:jc w:val="left"/>
        <w:tblInd w:w="849" w:type="dxa"/>
        <w:tblLayout w:type="fixed"/>
        <w:tblCellMar>
          <w:top w:w="100" w:type="dxa"/>
          <w:left w:w="100" w:type="dxa"/>
          <w:bottom w:w="100" w:type="dxa"/>
          <w:right w:w="100" w:type="dxa"/>
        </w:tblCellMar>
        <w:tblLook w:firstRow="0" w:noVBand="1" w:lastRow="0" w:firstColumn="0" w:lastColumn="0" w:noHBand="1" w:val="0600"/>
      </w:tblPr>
      <w:tblGrid>
        <w:gridCol w:w="890"/>
        <w:gridCol w:w="1480"/>
        <w:gridCol w:w="2729"/>
        <w:gridCol w:w="1579"/>
        <w:gridCol w:w="1502"/>
        <w:gridCol w:w="2310"/>
      </w:tblGrid>
      <w:tr>
        <w:trPr>
          <w:trHeight w:val="390"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8"/>
                <w:szCs w:val="18"/>
              </w:rPr>
            </w:pPr>
            <w:r>
              <w:rPr>
                <w:b/>
                <w:sz w:val="18"/>
                <w:szCs w:val="18"/>
              </w:rPr>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right"/>
              <w:rPr>
                <w:b/>
                <w:sz w:val="18"/>
                <w:szCs w:val="18"/>
              </w:rPr>
            </w:pPr>
            <w:r>
              <w:rPr>
                <w:b/>
                <w:sz w:val="18"/>
                <w:szCs w:val="18"/>
              </w:rPr>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18"/>
                <w:szCs w:val="18"/>
              </w:rPr>
            </w:pPr>
            <w:r>
              <w:rPr>
                <w:rFonts w:eastAsia="Arial" w:cs="Arial"/>
                <w:b/>
                <w:kern w:val="0"/>
                <w:sz w:val="18"/>
                <w:szCs w:val="18"/>
                <w:lang w:val="cs-CZ" w:eastAsia="zh-CN" w:bidi="hi-IN"/>
              </w:rPr>
              <w:t>druh vodního zdroje</w:t>
            </w:r>
          </w:p>
        </w:tc>
        <w:tc>
          <w:tcPr>
            <w:tcW w:w="308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sz w:val="18"/>
                <w:szCs w:val="18"/>
              </w:rPr>
            </w:pPr>
            <w:r>
              <w:rPr>
                <w:rFonts w:eastAsia="Arial" w:cs="Arial"/>
                <w:b/>
                <w:kern w:val="0"/>
                <w:sz w:val="18"/>
                <w:szCs w:val="18"/>
                <w:lang w:val="cs-CZ" w:eastAsia="zh-CN" w:bidi="hi-IN"/>
              </w:rPr>
              <w:t>popis umístění</w:t>
            </w:r>
          </w:p>
        </w:tc>
        <w:tc>
          <w:tcPr>
            <w:tcW w:w="231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rPr>
            </w:pPr>
            <w:r>
              <w:rPr>
                <w:b/>
              </w:rPr>
            </w:r>
          </w:p>
        </w:tc>
      </w:tr>
      <w:tr>
        <w:trPr>
          <w:trHeight w:val="515"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1</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u autobusové zastávky - u křížku</w:t>
            </w:r>
          </w:p>
        </w:tc>
        <w:tc>
          <w:tcPr>
            <w:tcW w:w="157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50.1828347N</w:t>
            </w:r>
          </w:p>
        </w:tc>
        <w:tc>
          <w:tcPr>
            <w:tcW w:w="150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14.8865944E</w:t>
            </w:r>
          </w:p>
        </w:tc>
        <w:tc>
          <w:tcPr>
            <w:tcW w:w="23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krammer DN 80</w:t>
            </w:r>
          </w:p>
        </w:tc>
      </w:tr>
      <w:tr>
        <w:trPr>
          <w:trHeight w:val="515" w:hRule="atLeast"/>
        </w:trPr>
        <w:tc>
          <w:tcPr>
            <w:tcW w:w="890"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2</w:t>
            </w:r>
          </w:p>
        </w:tc>
        <w:tc>
          <w:tcPr>
            <w:tcW w:w="148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29"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18"/>
                <w:szCs w:val="18"/>
              </w:rPr>
            </w:pPr>
            <w:r>
              <w:rPr>
                <w:rFonts w:eastAsia="Arial" w:cs="Arial"/>
                <w:b/>
                <w:kern w:val="0"/>
                <w:sz w:val="18"/>
                <w:szCs w:val="18"/>
                <w:lang w:val="cs-CZ" w:eastAsia="zh-CN" w:bidi="hi-IN"/>
              </w:rPr>
              <w:t>zelený pás proti kapličce</w:t>
            </w:r>
          </w:p>
        </w:tc>
        <w:tc>
          <w:tcPr>
            <w:tcW w:w="157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18"/>
                <w:szCs w:val="18"/>
              </w:rPr>
            </w:pPr>
            <w:r>
              <w:rPr>
                <w:rFonts w:eastAsia="Arial" w:cs="Arial"/>
                <w:kern w:val="0"/>
                <w:sz w:val="18"/>
                <w:szCs w:val="18"/>
                <w:lang w:val="cs-CZ" w:eastAsia="zh-CN" w:bidi="hi-IN"/>
              </w:rPr>
              <w:t>50.1807194N</w:t>
            </w:r>
          </w:p>
        </w:tc>
        <w:tc>
          <w:tcPr>
            <w:tcW w:w="150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18"/>
                <w:szCs w:val="18"/>
              </w:rPr>
            </w:pPr>
            <w:r>
              <w:rPr>
                <w:rFonts w:eastAsia="Arial" w:cs="Arial"/>
                <w:kern w:val="0"/>
                <w:sz w:val="18"/>
                <w:szCs w:val="18"/>
                <w:lang w:val="cs-CZ" w:eastAsia="zh-CN" w:bidi="hi-IN"/>
              </w:rPr>
              <w:t>14.8927461E</w:t>
            </w:r>
          </w:p>
        </w:tc>
        <w:tc>
          <w:tcPr>
            <w:tcW w:w="2310"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18"/>
                <w:szCs w:val="18"/>
              </w:rPr>
            </w:pPr>
            <w:r>
              <w:rPr>
                <w:rFonts w:eastAsia="Arial" w:cs="Arial"/>
                <w:kern w:val="0"/>
                <w:sz w:val="18"/>
                <w:szCs w:val="18"/>
                <w:lang w:val="cs-CZ" w:eastAsia="zh-CN" w:bidi="hi-IN"/>
              </w:rPr>
              <w:t>podzemní AVK DN 80</w:t>
            </w:r>
          </w:p>
        </w:tc>
      </w:tr>
      <w:tr>
        <w:trPr>
          <w:trHeight w:val="515"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3</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betonový prostor před školou</w:t>
            </w:r>
          </w:p>
        </w:tc>
        <w:tc>
          <w:tcPr>
            <w:tcW w:w="157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50.1837356N</w:t>
            </w:r>
          </w:p>
        </w:tc>
        <w:tc>
          <w:tcPr>
            <w:tcW w:w="150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14.8927489E</w:t>
            </w:r>
          </w:p>
        </w:tc>
        <w:tc>
          <w:tcPr>
            <w:tcW w:w="23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AVK DN 80</w:t>
            </w:r>
          </w:p>
        </w:tc>
      </w:tr>
      <w:tr>
        <w:trPr>
          <w:trHeight w:val="515"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4</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zadní vjezd - Botanicus</w:t>
            </w:r>
          </w:p>
        </w:tc>
        <w:tc>
          <w:tcPr>
            <w:tcW w:w="157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50.1792456N</w:t>
            </w:r>
          </w:p>
        </w:tc>
        <w:tc>
          <w:tcPr>
            <w:tcW w:w="150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14.8950350E</w:t>
            </w:r>
          </w:p>
        </w:tc>
        <w:tc>
          <w:tcPr>
            <w:tcW w:w="23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Krammer DN 80</w:t>
            </w:r>
          </w:p>
        </w:tc>
      </w:tr>
      <w:tr>
        <w:trPr>
          <w:trHeight w:val="515"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1</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Šnepov</w:t>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pole u vodoměrné šachty</w:t>
            </w:r>
          </w:p>
        </w:tc>
        <w:tc>
          <w:tcPr>
            <w:tcW w:w="157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50.1833248N</w:t>
            </w:r>
          </w:p>
        </w:tc>
        <w:tc>
          <w:tcPr>
            <w:tcW w:w="150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14.9248896</w:t>
            </w:r>
          </w:p>
        </w:tc>
        <w:tc>
          <w:tcPr>
            <w:tcW w:w="23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Havle DN 80 DUO</w:t>
            </w:r>
          </w:p>
        </w:tc>
      </w:tr>
      <w:tr>
        <w:trPr>
          <w:trHeight w:val="515"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2</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Šnepov</w:t>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U Kapličky, RD č.p. 10</w:t>
            </w:r>
          </w:p>
        </w:tc>
        <w:tc>
          <w:tcPr>
            <w:tcW w:w="157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50.1813794</w:t>
            </w:r>
          </w:p>
        </w:tc>
        <w:tc>
          <w:tcPr>
            <w:tcW w:w="150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14.9241375</w:t>
            </w:r>
          </w:p>
        </w:tc>
        <w:tc>
          <w:tcPr>
            <w:tcW w:w="23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Havle DN 80 DUO</w:t>
            </w:r>
          </w:p>
        </w:tc>
      </w:tr>
      <w:tr>
        <w:trPr>
          <w:trHeight w:val="515" w:hRule="atLeast"/>
        </w:trPr>
        <w:tc>
          <w:tcPr>
            <w:tcW w:w="890"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3</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Šnepov</w:t>
            </w:r>
          </w:p>
        </w:tc>
        <w:tc>
          <w:tcPr>
            <w:tcW w:w="2729"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křižovatka u č.p, 42 směr Ostrá</w:t>
            </w:r>
          </w:p>
        </w:tc>
        <w:tc>
          <w:tcPr>
            <w:tcW w:w="157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50.1815082</w:t>
            </w:r>
          </w:p>
        </w:tc>
        <w:tc>
          <w:tcPr>
            <w:tcW w:w="150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14.9213618</w:t>
            </w:r>
          </w:p>
        </w:tc>
        <w:tc>
          <w:tcPr>
            <w:tcW w:w="2310"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Havle DN 80 DUO</w:t>
            </w:r>
          </w:p>
        </w:tc>
      </w:tr>
    </w:tbl>
    <w:p>
      <w:pPr>
        <w:pStyle w:val="LO-normal"/>
        <w:widowControl w:val="false"/>
        <w:rPr/>
      </w:pPr>
      <w:r>
        <w:rPr/>
        <w:tab/>
        <w:tab/>
      </w:r>
    </w:p>
    <w:p>
      <w:pPr>
        <w:pStyle w:val="LO-normal"/>
        <w:widowControl w:val="false"/>
        <w:rPr/>
      </w:pPr>
      <w:r>
        <w:rPr/>
        <w:tab/>
        <w:tab/>
        <w:t>B)   zobrazení na mapě</w:t>
      </w:r>
    </w:p>
    <w:p>
      <w:pPr>
        <w:pStyle w:val="LO-normal"/>
        <w:widowControl w:val="false"/>
        <w:rPr>
          <w:b/>
          <w:bCs/>
        </w:rPr>
      </w:pPr>
      <w:r>
        <w:rPr>
          <w:b/>
          <w:bCs/>
        </w:rPr>
      </w:r>
    </w:p>
    <w:p>
      <w:pPr>
        <w:pStyle w:val="LO-normal"/>
        <w:widowControl w:val="false"/>
        <w:rPr>
          <w:b/>
          <w:bCs/>
        </w:rPr>
      </w:pPr>
      <w:r>
        <w:rPr>
          <w:b/>
          <w:bCs/>
        </w:rPr>
        <w:t xml:space="preserve">    </w:t>
      </w:r>
      <w:r>
        <w:rPr>
          <w:b/>
          <w:bCs/>
        </w:rPr>
        <w:tab/>
        <w:tab/>
        <w:tab/>
        <w:t>přírodní, Ostrá, Šnepov</w:t>
      </w:r>
    </w:p>
    <w:p>
      <w:pPr>
        <w:pStyle w:val="LO-normal"/>
        <w:widowControl w:val="false"/>
        <w:rPr/>
      </w:pPr>
      <w:r>
        <w:rPr/>
        <w:drawing>
          <wp:anchor behindDoc="0" distT="0" distB="0" distL="0" distR="0" simplePos="0" locked="0" layoutInCell="0" allowOverlap="1" relativeHeight="2">
            <wp:simplePos x="0" y="0"/>
            <wp:positionH relativeFrom="column">
              <wp:posOffset>1040765</wp:posOffset>
            </wp:positionH>
            <wp:positionV relativeFrom="paragraph">
              <wp:posOffset>107950</wp:posOffset>
            </wp:positionV>
            <wp:extent cx="3917315" cy="184658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3"/>
                    <a:stretch>
                      <a:fillRect/>
                    </a:stretch>
                  </pic:blipFill>
                  <pic:spPr bwMode="auto">
                    <a:xfrm>
                      <a:off x="0" y="0"/>
                      <a:ext cx="3917315" cy="1846580"/>
                    </a:xfrm>
                    <a:prstGeom prst="rect">
                      <a:avLst/>
                    </a:prstGeom>
                  </pic:spPr>
                </pic:pic>
              </a:graphicData>
            </a:graphic>
          </wp:anchor>
        </w:drawing>
      </w:r>
    </w:p>
    <w:p>
      <w:pPr>
        <w:pStyle w:val="LO-normal"/>
        <w:widowControl w:val="false"/>
        <w:rPr/>
      </w:pPr>
      <w:r>
        <w:rPr/>
      </w:r>
    </w:p>
    <w:p>
      <w:pPr>
        <w:pStyle w:val="LO-normal"/>
        <w:widowControl w:val="false"/>
        <w:rPr/>
      </w:pPr>
      <w:r>
        <w:rPr/>
      </w:r>
    </w:p>
    <w:p>
      <w:pPr>
        <w:pStyle w:val="LO-normal"/>
        <w:widowControl w:val="false"/>
        <w:rPr/>
      </w:pPr>
      <w:r>
        <w:rPr/>
        <w:tab/>
      </w:r>
      <w:r>
        <w:rPr>
          <w:b/>
          <w:bCs/>
        </w:rPr>
        <w:tab/>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pPr>
      <w:r>
        <w:rPr>
          <w:b/>
          <w:bCs/>
        </w:rPr>
        <w:tab/>
        <w:tab/>
        <w:tab/>
        <w:t>umělé, Ostrá</w:t>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drawing>
          <wp:anchor behindDoc="0" distT="0" distB="0" distL="0" distR="0" simplePos="0" locked="0" layoutInCell="0" allowOverlap="1" relativeHeight="3">
            <wp:simplePos x="0" y="0"/>
            <wp:positionH relativeFrom="column">
              <wp:posOffset>899160</wp:posOffset>
            </wp:positionH>
            <wp:positionV relativeFrom="paragraph">
              <wp:posOffset>139065</wp:posOffset>
            </wp:positionV>
            <wp:extent cx="3957320" cy="2300605"/>
            <wp:effectExtent l="0" t="0" r="0" b="0"/>
            <wp:wrapSquare wrapText="largest"/>
            <wp:docPr id="2"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
                    <pic:cNvPicPr>
                      <a:picLocks noChangeAspect="1" noChangeArrowheads="1"/>
                    </pic:cNvPicPr>
                  </pic:nvPicPr>
                  <pic:blipFill>
                    <a:blip r:embed="rId4"/>
                    <a:stretch>
                      <a:fillRect/>
                    </a:stretch>
                  </pic:blipFill>
                  <pic:spPr bwMode="auto">
                    <a:xfrm>
                      <a:off x="0" y="0"/>
                      <a:ext cx="3957320" cy="2300605"/>
                    </a:xfrm>
                    <a:prstGeom prst="rect">
                      <a:avLst/>
                    </a:prstGeom>
                  </pic:spPr>
                </pic:pic>
              </a:graphicData>
            </a:graphic>
          </wp:anchor>
        </w:drawing>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rPr>
        <w:tab/>
        <w:tab/>
        <w:tab/>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i w:val="false"/>
          <w:caps w:val="false"/>
          <w:smallCaps w:val="false"/>
          <w:color w:val="212529"/>
          <w:spacing w:val="0"/>
          <w:sz w:val="19"/>
          <w:szCs w:val="22"/>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szCs w:val="22"/>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i w:val="false"/>
          <w:caps w:val="false"/>
          <w:smallCaps w:val="false"/>
          <w:color w:val="212529"/>
          <w:spacing w:val="0"/>
          <w:sz w:val="19"/>
          <w:szCs w:val="22"/>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szCs w:val="22"/>
        </w:rPr>
      </w:r>
    </w:p>
    <w:p>
      <w:pPr>
        <w:pStyle w:val="LO-normal"/>
        <w:widowControl w:val="false"/>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szCs w:val="22"/>
        </w:rPr>
        <w:tab/>
        <w:tab/>
        <w:tab/>
      </w:r>
      <w:r>
        <w:rPr>
          <w:b/>
          <w:bCs/>
          <w:i w:val="false"/>
          <w:caps w:val="false"/>
          <w:smallCaps w:val="false"/>
          <w:color w:val="212529"/>
          <w:spacing w:val="0"/>
          <w:sz w:val="22"/>
          <w:szCs w:val="22"/>
        </w:rPr>
        <w:t>umělé, Šnepov</w:t>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caps w:val="false"/>
          <w:smallCaps w:val="false"/>
          <w:color w:val="212529"/>
          <w:spacing w:val="0"/>
          <w:sz w:val="19"/>
        </w:rPr>
        <w:drawing>
          <wp:anchor behindDoc="0" distT="0" distB="0" distL="0" distR="0" simplePos="0" locked="0" layoutInCell="0" allowOverlap="1" relativeHeight="4">
            <wp:simplePos x="0" y="0"/>
            <wp:positionH relativeFrom="column">
              <wp:posOffset>1242695</wp:posOffset>
            </wp:positionH>
            <wp:positionV relativeFrom="paragraph">
              <wp:posOffset>147955</wp:posOffset>
            </wp:positionV>
            <wp:extent cx="3406140" cy="3329305"/>
            <wp:effectExtent l="0" t="0" r="0" b="0"/>
            <wp:wrapSquare wrapText="largest"/>
            <wp:docPr id="3"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descr=""/>
                    <pic:cNvPicPr>
                      <a:picLocks noChangeAspect="1" noChangeArrowheads="1"/>
                    </pic:cNvPicPr>
                  </pic:nvPicPr>
                  <pic:blipFill>
                    <a:blip r:embed="rId5"/>
                    <a:stretch>
                      <a:fillRect/>
                    </a:stretch>
                  </pic:blipFill>
                  <pic:spPr bwMode="auto">
                    <a:xfrm>
                      <a:off x="0" y="0"/>
                      <a:ext cx="3406140" cy="3329305"/>
                    </a:xfrm>
                    <a:prstGeom prst="rect">
                      <a:avLst/>
                    </a:prstGeom>
                  </pic:spPr>
                </pic:pic>
              </a:graphicData>
            </a:graphic>
          </wp:anchor>
        </w:drawing>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i w:val="false"/>
          <w:caps w:val="false"/>
          <w:smallCaps w:val="false"/>
          <w:color w:val="212529"/>
          <w:spacing w:val="0"/>
          <w:sz w:val="19"/>
        </w:rPr>
      </w:pPr>
      <w:r>
        <w:rPr/>
      </w:r>
    </w:p>
    <w:sectPr>
      <w:type w:val="nextPage"/>
      <w:pgSz w:w="11906" w:h="16838"/>
      <w:pgMar w:left="113" w:right="781" w:gutter="113" w:header="0" w:top="830" w:footer="0" w:bottom="567"/>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Georgia">
    <w:charset w:val="ee"/>
    <w:family w:val="roman"/>
    <w:pitch w:val="variable"/>
  </w:font>
  <w:font w:name="Times New Roman">
    <w:charset w:val="ee"/>
    <w:family w:val="roman"/>
    <w:pitch w:val="variable"/>
  </w:font>
  <w:font w:name="Noto Sans Symbols">
    <w:charset w:val="ee"/>
    <w:family w:val="roman"/>
    <w:pitch w:val="variable"/>
  </w:font>
  <w:font w:name="Roboto Condensed">
    <w:altName w:val="apple-system"/>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3">
    <w:lvl w:ilvl="0">
      <w:start w:val="1"/>
      <w:numFmt w:val="bullet"/>
      <w:lvlText w:val=""/>
      <w:lvlJc w:val="left"/>
      <w:pPr>
        <w:tabs>
          <w:tab w:val="num" w:pos="1501"/>
        </w:tabs>
        <w:ind w:left="1501" w:hanging="360"/>
      </w:pPr>
      <w:rPr>
        <w:rFonts w:ascii="Symbol" w:hAnsi="Symbol" w:cs="Symbol" w:hint="default"/>
      </w:rPr>
    </w:lvl>
    <w:lvl w:ilvl="1">
      <w:start w:val="1"/>
      <w:numFmt w:val="bullet"/>
      <w:lvlText w:val="◦"/>
      <w:lvlJc w:val="left"/>
      <w:pPr>
        <w:tabs>
          <w:tab w:val="num" w:pos="1861"/>
        </w:tabs>
        <w:ind w:left="1861" w:hanging="360"/>
      </w:pPr>
      <w:rPr>
        <w:rFonts w:ascii="OpenSymbol" w:hAnsi="OpenSymbol" w:cs="OpenSymbol" w:hint="default"/>
      </w:rPr>
    </w:lvl>
    <w:lvl w:ilvl="2">
      <w:start w:val="1"/>
      <w:numFmt w:val="bullet"/>
      <w:lvlText w:val="▪"/>
      <w:lvlJc w:val="left"/>
      <w:pPr>
        <w:tabs>
          <w:tab w:val="num" w:pos="2221"/>
        </w:tabs>
        <w:ind w:left="2221" w:hanging="360"/>
      </w:pPr>
      <w:rPr>
        <w:rFonts w:ascii="OpenSymbol" w:hAnsi="OpenSymbol" w:cs="OpenSymbol" w:hint="default"/>
      </w:rPr>
    </w:lvl>
    <w:lvl w:ilvl="3">
      <w:start w:val="1"/>
      <w:numFmt w:val="bullet"/>
      <w:lvlText w:val=""/>
      <w:lvlJc w:val="left"/>
      <w:pPr>
        <w:tabs>
          <w:tab w:val="num" w:pos="2581"/>
        </w:tabs>
        <w:ind w:left="2581" w:hanging="360"/>
      </w:pPr>
      <w:rPr>
        <w:rFonts w:ascii="Symbol" w:hAnsi="Symbol" w:cs="Symbol" w:hint="default"/>
      </w:rPr>
    </w:lvl>
    <w:lvl w:ilvl="4">
      <w:start w:val="1"/>
      <w:numFmt w:val="bullet"/>
      <w:lvlText w:val="◦"/>
      <w:lvlJc w:val="left"/>
      <w:pPr>
        <w:tabs>
          <w:tab w:val="num" w:pos="2941"/>
        </w:tabs>
        <w:ind w:left="2941" w:hanging="360"/>
      </w:pPr>
      <w:rPr>
        <w:rFonts w:ascii="OpenSymbol" w:hAnsi="OpenSymbol" w:cs="OpenSymbol" w:hint="default"/>
      </w:rPr>
    </w:lvl>
    <w:lvl w:ilvl="5">
      <w:start w:val="1"/>
      <w:numFmt w:val="bullet"/>
      <w:lvlText w:val="▪"/>
      <w:lvlJc w:val="left"/>
      <w:pPr>
        <w:tabs>
          <w:tab w:val="num" w:pos="3301"/>
        </w:tabs>
        <w:ind w:left="3301" w:hanging="360"/>
      </w:pPr>
      <w:rPr>
        <w:rFonts w:ascii="OpenSymbol" w:hAnsi="OpenSymbol" w:cs="OpenSymbol" w:hint="default"/>
      </w:rPr>
    </w:lvl>
    <w:lvl w:ilvl="6">
      <w:start w:val="1"/>
      <w:numFmt w:val="bullet"/>
      <w:lvlText w:val=""/>
      <w:lvlJc w:val="left"/>
      <w:pPr>
        <w:tabs>
          <w:tab w:val="num" w:pos="3661"/>
        </w:tabs>
        <w:ind w:left="3661" w:hanging="360"/>
      </w:pPr>
      <w:rPr>
        <w:rFonts w:ascii="Symbol" w:hAnsi="Symbol" w:cs="Symbol" w:hint="default"/>
      </w:rPr>
    </w:lvl>
    <w:lvl w:ilvl="7">
      <w:start w:val="1"/>
      <w:numFmt w:val="bullet"/>
      <w:lvlText w:val="◦"/>
      <w:lvlJc w:val="left"/>
      <w:pPr>
        <w:tabs>
          <w:tab w:val="num" w:pos="4021"/>
        </w:tabs>
        <w:ind w:left="4021" w:hanging="360"/>
      </w:pPr>
      <w:rPr>
        <w:rFonts w:ascii="OpenSymbol" w:hAnsi="OpenSymbol" w:cs="OpenSymbol" w:hint="default"/>
      </w:rPr>
    </w:lvl>
    <w:lvl w:ilvl="8">
      <w:start w:val="1"/>
      <w:numFmt w:val="bullet"/>
      <w:lvlText w:val="▪"/>
      <w:lvlJc w:val="left"/>
      <w:pPr>
        <w:tabs>
          <w:tab w:val="num" w:pos="4381"/>
        </w:tabs>
        <w:ind w:left="4381"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CZ"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cs-CZ" w:eastAsia="zh-CN" w:bidi="hi-IN"/>
    </w:rPr>
  </w:style>
  <w:style w:type="paragraph" w:styleId="Nadpis1">
    <w:name w:val="Heading 1"/>
    <w:basedOn w:val="LO-normal"/>
    <w:next w:val="LO-normal"/>
    <w:qFormat/>
    <w:pPr>
      <w:keepNext w:val="true"/>
      <w:keepLines/>
      <w:spacing w:lineRule="auto" w:line="240" w:before="480" w:after="120"/>
      <w:outlineLvl w:val="0"/>
    </w:pPr>
    <w:rPr>
      <w:b/>
      <w:sz w:val="48"/>
      <w:szCs w:val="48"/>
    </w:rPr>
  </w:style>
  <w:style w:type="paragraph" w:styleId="Nadpis2">
    <w:name w:val="Heading 2"/>
    <w:basedOn w:val="LO-normal"/>
    <w:next w:val="LO-normal"/>
    <w:qFormat/>
    <w:pPr>
      <w:keepNext w:val="true"/>
      <w:keepLines/>
      <w:spacing w:lineRule="auto" w:line="240" w:before="360" w:after="80"/>
      <w:outlineLvl w:val="1"/>
    </w:pPr>
    <w:rPr>
      <w:b/>
      <w:sz w:val="36"/>
      <w:szCs w:val="36"/>
    </w:rPr>
  </w:style>
  <w:style w:type="paragraph" w:styleId="Nadpis3">
    <w:name w:val="Heading 3"/>
    <w:basedOn w:val="LO-normal"/>
    <w:next w:val="LO-normal"/>
    <w:qFormat/>
    <w:pPr>
      <w:keepNext w:val="true"/>
      <w:keepLines/>
      <w:spacing w:lineRule="auto" w:line="240" w:before="280" w:after="80"/>
      <w:outlineLvl w:val="2"/>
    </w:pPr>
    <w:rPr>
      <w:b/>
      <w:sz w:val="28"/>
      <w:szCs w:val="28"/>
    </w:rPr>
  </w:style>
  <w:style w:type="paragraph" w:styleId="Nadpis4">
    <w:name w:val="Heading 4"/>
    <w:basedOn w:val="LO-normal"/>
    <w:next w:val="LO-normal"/>
    <w:qFormat/>
    <w:pPr>
      <w:keepNext w:val="true"/>
      <w:keepLines/>
      <w:spacing w:lineRule="auto" w:line="240" w:before="240" w:after="40"/>
      <w:outlineLvl w:val="3"/>
    </w:pPr>
    <w:rPr>
      <w:b/>
      <w:sz w:val="24"/>
      <w:szCs w:val="24"/>
    </w:rPr>
  </w:style>
  <w:style w:type="paragraph" w:styleId="Nadpis5">
    <w:name w:val="Heading 5"/>
    <w:basedOn w:val="LO-normal"/>
    <w:next w:val="LO-normal"/>
    <w:qFormat/>
    <w:pPr>
      <w:keepNext w:val="true"/>
      <w:keepLines/>
      <w:spacing w:lineRule="auto" w:line="240" w:before="220" w:after="40"/>
      <w:outlineLvl w:val="4"/>
    </w:pPr>
    <w:rPr>
      <w:b/>
    </w:rPr>
  </w:style>
  <w:style w:type="paragraph" w:styleId="Nadpis6">
    <w:name w:val="Heading 6"/>
    <w:basedOn w:val="LO-normal"/>
    <w:next w:val="LO-normal"/>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ovodkaz">
    <w:name w:val="Hyperlink"/>
    <w:rPr>
      <w:color w:val="000080"/>
      <w:u w:val="single"/>
    </w:rPr>
  </w:style>
  <w:style w:type="character" w:styleId="Annotationreference">
    <w:name w:val="annotation reference"/>
    <w:basedOn w:val="DefaultParagraphFont"/>
    <w:uiPriority w:val="99"/>
    <w:semiHidden/>
    <w:unhideWhenUsed/>
    <w:qFormat/>
    <w:rsid w:val="00163a9e"/>
    <w:rPr>
      <w:sz w:val="16"/>
      <w:szCs w:val="16"/>
    </w:rPr>
  </w:style>
  <w:style w:type="character" w:styleId="TextkomenteChar" w:customStyle="1">
    <w:name w:val="Text komentáře Char"/>
    <w:basedOn w:val="DefaultParagraphFont"/>
    <w:link w:val="Annotationtext"/>
    <w:uiPriority w:val="99"/>
    <w:semiHidden/>
    <w:qFormat/>
    <w:rsid w:val="00163a9e"/>
    <w:rPr>
      <w:rFonts w:cs="Mangal"/>
      <w:sz w:val="20"/>
      <w:szCs w:val="18"/>
    </w:rPr>
  </w:style>
  <w:style w:type="character" w:styleId="PedmtkomenteChar" w:customStyle="1">
    <w:name w:val="Předmět komentáře Char"/>
    <w:basedOn w:val="TextkomenteChar"/>
    <w:link w:val="Annotationsubject"/>
    <w:uiPriority w:val="99"/>
    <w:semiHidden/>
    <w:qFormat/>
    <w:rsid w:val="00163a9e"/>
    <w:rPr>
      <w:rFonts w:cs="Mangal"/>
      <w:b/>
      <w:bCs/>
      <w:sz w:val="20"/>
      <w:szCs w:val="18"/>
    </w:rPr>
  </w:style>
  <w:style w:type="character" w:styleId="TextbublinyChar" w:customStyle="1">
    <w:name w:val="Text bubliny Char"/>
    <w:basedOn w:val="DefaultParagraphFont"/>
    <w:link w:val="BalloonText"/>
    <w:uiPriority w:val="99"/>
    <w:semiHidden/>
    <w:qFormat/>
    <w:rsid w:val="00163a9e"/>
    <w:rPr>
      <w:rFonts w:ascii="Segoe UI" w:hAnsi="Segoe UI" w:cs="Mangal"/>
      <w:sz w:val="18"/>
      <w:szCs w:val="16"/>
    </w:rPr>
  </w:style>
  <w:style w:type="character" w:styleId="Odrky">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O-normal" w:customStyle="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cs-CZ" w:eastAsia="zh-CN" w:bidi="hi-IN"/>
    </w:rPr>
  </w:style>
  <w:style w:type="paragraph" w:styleId="Nzev">
    <w:name w:val="Title"/>
    <w:basedOn w:val="LO-normal"/>
    <w:next w:val="LO-normal"/>
    <w:qFormat/>
    <w:pPr>
      <w:keepNext w:val="true"/>
      <w:keepLines/>
      <w:spacing w:lineRule="auto" w:line="240" w:before="480" w:after="120"/>
    </w:pPr>
    <w:rPr>
      <w:b/>
      <w:sz w:val="72"/>
      <w:szCs w:val="72"/>
    </w:rPr>
  </w:style>
  <w:style w:type="paragraph" w:styleId="Podtitul">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Annotationtext">
    <w:name w:val="annotation text"/>
    <w:basedOn w:val="Normal"/>
    <w:link w:val="TextkomenteChar"/>
    <w:uiPriority w:val="99"/>
    <w:semiHidden/>
    <w:unhideWhenUsed/>
    <w:qFormat/>
    <w:rsid w:val="00163a9e"/>
    <w:pPr>
      <w:spacing w:lineRule="auto" w:line="240"/>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163a9e"/>
    <w:pPr/>
    <w:rPr>
      <w:b/>
      <w:bCs/>
    </w:rPr>
  </w:style>
  <w:style w:type="paragraph" w:styleId="BalloonText">
    <w:name w:val="Balloon Text"/>
    <w:basedOn w:val="Normal"/>
    <w:link w:val="TextbublinyChar"/>
    <w:uiPriority w:val="99"/>
    <w:semiHidden/>
    <w:unhideWhenUsed/>
    <w:qFormat/>
    <w:rsid w:val="00163a9e"/>
    <w:pPr>
      <w:spacing w:lineRule="auto" w:line="240"/>
    </w:pPr>
    <w:rPr>
      <w:rFonts w:ascii="Segoe UI" w:hAnsi="Segoe UI" w:cs="Mangal"/>
      <w:sz w:val="18"/>
      <w:szCs w:val="16"/>
    </w:rPr>
  </w:style>
  <w:style w:type="paragraph" w:styleId="NormalWeb">
    <w:name w:val="Normal (Web)"/>
    <w:basedOn w:val="Normal"/>
    <w:uiPriority w:val="99"/>
    <w:semiHidden/>
    <w:unhideWhenUsed/>
    <w:qFormat/>
    <w:rsid w:val="00163a9e"/>
    <w:pPr>
      <w:suppressAutoHyphens w:val="false"/>
      <w:spacing w:lineRule="auto" w:line="240" w:beforeAutospacing="1" w:afterAutospacing="1"/>
      <w:ind w:firstLine="500"/>
      <w:jc w:val="both"/>
    </w:pPr>
    <w:rPr>
      <w:rFonts w:ascii="Times New Roman" w:hAnsi="Times New Roman" w:eastAsia="Times New Roman" w:cs="Times New Roman"/>
      <w:color w:val="000000"/>
      <w:sz w:val="24"/>
      <w:szCs w:val="24"/>
      <w:lang w:eastAsia="cs-CZ" w:bidi="ar-SA"/>
    </w:rPr>
  </w:style>
  <w:style w:type="paragraph" w:styleId="Obsahtabulky">
    <w:name w:val="Obsah tabulky"/>
    <w:basedOn w:val="Normal"/>
    <w:qFormat/>
    <w:pPr>
      <w:widowControl w:val="false"/>
      <w:suppressLineNumbers/>
    </w:pPr>
    <w:rPr/>
  </w:style>
  <w:style w:type="paragraph" w:styleId="Nadpistabulky">
    <w:name w:val="Nadpis tabulky"/>
    <w:basedOn w:val="Obsahtabulky"/>
    <w:qFormat/>
    <w:pPr>
      <w:suppressLineNumbers/>
      <w:jc w:val="center"/>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zscr.cz/clanek/narizeni-kraje-soubory-ke-stazeni.aspx"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Application>LibreOffice/7.5.1.2$Windows_X86_64 LibreOffice_project/fcbaee479e84c6cd81291587d2ee68cba099e129</Application>
  <AppVersion>15.0000</AppVersion>
  <Pages>7</Pages>
  <Words>1495</Words>
  <Characters>7998</Characters>
  <CharactersWithSpaces>9567</CharactersWithSpaces>
  <Paragraphs>172</Paragraphs>
  <Company>MVCR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2024-10-14T08:08:00Z</dcterms:created>
  <dc:creator>.</dc:creator>
  <dc:description/>
  <dc:language>cs-CZ</dc:language>
  <cp:lastModifiedBy/>
  <cp:lastPrinted>2024-10-24T08:29:54Z</cp:lastPrinted>
  <dcterms:modified xsi:type="dcterms:W3CDTF">2024-10-25T14:17:01Z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