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Obec Veliš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t xml:space="preserve">Zastupitelstvo </w:t>
      </w:r>
      <w:r w:rsidDel="00000000" w:rsidR="00000000" w:rsidRPr="00000000">
        <w:rPr>
          <w:rFonts w:ascii="Arial" w:cs="Arial" w:eastAsia="Arial" w:hAnsi="Arial"/>
          <w:b w:val="1"/>
          <w:sz w:val="28"/>
          <w:szCs w:val="28"/>
          <w:rtl w:val="0"/>
        </w:rPr>
        <w:t xml:space="preserve">obce Veliš</w:t>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38" w:before="238"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Obecně závazná vyhláška </w:t>
      </w:r>
      <w:r w:rsidDel="00000000" w:rsidR="00000000" w:rsidRPr="00000000">
        <w:rPr>
          <w:rFonts w:ascii="Arial" w:cs="Arial" w:eastAsia="Arial" w:hAnsi="Arial"/>
          <w:b w:val="1"/>
          <w:sz w:val="28"/>
          <w:szCs w:val="28"/>
          <w:rtl w:val="0"/>
        </w:rPr>
        <w:t xml:space="preserve">obce Veliš</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t xml:space="preserve">o místním poplatku za obecní systém odpadového hospodářství</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2"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2"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Zastupitelstvo </w:t>
      </w:r>
      <w:r w:rsidDel="00000000" w:rsidR="00000000" w:rsidRPr="00000000">
        <w:rPr>
          <w:rFonts w:ascii="Arial" w:cs="Arial" w:eastAsia="Arial" w:hAnsi="Arial"/>
          <w:sz w:val="22"/>
          <w:szCs w:val="22"/>
          <w:rtl w:val="0"/>
        </w:rPr>
        <w:t xml:space="preserve">obce Veliš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na svém zasedání dne </w:t>
      </w:r>
      <w:r w:rsidDel="00000000" w:rsidR="00000000" w:rsidRPr="00000000">
        <w:rPr>
          <w:rFonts w:ascii="Arial" w:cs="Arial" w:eastAsia="Arial" w:hAnsi="Arial"/>
          <w:sz w:val="22"/>
          <w:szCs w:val="22"/>
          <w:rtl w:val="0"/>
        </w:rPr>
        <w:t xml:space="preserve">15.prosince 2023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1</w:t>
        <w:br w:type="textWrapping"/>
        <w:t xml:space="preserve">Úvodní ustanovení</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Obec Veliš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touto vyhláškou zavádí místní poplatek za obecní systém odpadového hospodářství (dále jen „poplatek“).</w:t>
      </w:r>
    </w:p>
    <w:p w:rsidR="00000000" w:rsidDel="00000000" w:rsidP="00000000" w:rsidRDefault="00000000" w:rsidRPr="00000000" w14:paraId="0000000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Poplatkovým obdobím poplatku je kalendářní rok</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Správcem poplatku je </w:t>
      </w:r>
      <w:r w:rsidDel="00000000" w:rsidR="00000000" w:rsidRPr="00000000">
        <w:rPr>
          <w:rFonts w:ascii="Arial" w:cs="Arial" w:eastAsia="Arial" w:hAnsi="Arial"/>
          <w:sz w:val="22"/>
          <w:szCs w:val="22"/>
          <w:rtl w:val="0"/>
        </w:rPr>
        <w:t xml:space="preserve">obecní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úřad</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2</w:t>
        <w:br w:type="textWrapping"/>
        <w:t xml:space="preserve">Poplatník</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Poplatníkem poplatku je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fyzická osoba přihlášená </w:t>
      </w:r>
      <w:r w:rsidDel="00000000" w:rsidR="00000000" w:rsidRPr="00000000">
        <w:rPr>
          <w:rFonts w:ascii="Arial" w:cs="Arial" w:eastAsia="Arial" w:hAnsi="Arial"/>
          <w:sz w:val="22"/>
          <w:szCs w:val="22"/>
          <w:rtl w:val="0"/>
        </w:rPr>
        <w:t xml:space="preserve">v obci</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nebo vlastník nemovité věci zahrnující byt, rodinný dům nebo stavbu pro rodinnou rekreaci, ve které není přihlášená žádná fyzická osoba a která je umístěna na území </w:t>
      </w:r>
      <w:r w:rsidDel="00000000" w:rsidR="00000000" w:rsidRPr="00000000">
        <w:rPr>
          <w:rFonts w:ascii="Arial" w:cs="Arial" w:eastAsia="Arial" w:hAnsi="Arial"/>
          <w:sz w:val="22"/>
          <w:szCs w:val="22"/>
          <w:rtl w:val="0"/>
        </w:rPr>
        <w:t xml:space="preserve">obce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Spoluvlastníci nemovité věci zahrnující byt, rodinný dům nebo stavbu pro rodinnou rekreaci jsou povinni plnit poplatkovou povinnost společně a nerozdílně</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3</w:t>
        <w:br w:type="textWrapping"/>
        <w:t xml:space="preserve">Ohlašovací povinnost</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je povinen podat správci poplatku ohlášení nejpozději do 30 dnů ode dne vzniku své poplatkové povinnosti; údaje uváděné v ohlášení upravuje zákon</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567" w:right="0" w:hanging="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Dojde-li ke změně údajů uvedených v ohlášení, je poplatník povinen tuto změnu oznámit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30 dnů ode dne, kdy nastala</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4</w:t>
        <w:br w:type="textWrapping"/>
        <w:t xml:space="preserve">Sazba poplatku</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Sazba poplatku za kalendářní rok činí </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00 Kč.</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se v případě, že poplatková povinnost vznikla z důvodu přihlášení fyzické osoby </w:t>
      </w:r>
      <w:r w:rsidDel="00000000" w:rsidR="00000000" w:rsidRPr="00000000">
        <w:rPr>
          <w:rFonts w:ascii="Arial" w:cs="Arial" w:eastAsia="Arial" w:hAnsi="Arial"/>
          <w:sz w:val="22"/>
          <w:szCs w:val="22"/>
          <w:rtl w:val="0"/>
        </w:rPr>
        <w:t xml:space="preserve">v obci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snižuje o jednu dvanáctinu za každý kalendářní měsíc, na jehož konci</w:t>
      </w:r>
    </w:p>
    <w:p w:rsidR="00000000" w:rsidDel="00000000" w:rsidP="00000000" w:rsidRDefault="00000000" w:rsidRPr="00000000" w14:paraId="0000001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není tato fyzická osoba přihlášena v</w:t>
      </w:r>
      <w:r w:rsidDel="00000000" w:rsidR="00000000" w:rsidRPr="00000000">
        <w:rPr>
          <w:rFonts w:ascii="Arial" w:cs="Arial" w:eastAsia="Arial" w:hAnsi="Arial"/>
          <w:sz w:val="22"/>
          <w:szCs w:val="22"/>
          <w:rtl w:val="0"/>
        </w:rPr>
        <w:t xml:space="preserve"> obci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nebo je tato fyzická osoba od poplatku osvobozena.</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se v případě, že poplatková povinnost vznikla z důvodu vlastnictví jednotlivé nemovité věci zahrnující byt, rodinný dům nebo stavbu pro rodinnou rekreaci umístěné na území </w:t>
      </w:r>
      <w:r w:rsidDel="00000000" w:rsidR="00000000" w:rsidRPr="00000000">
        <w:rPr>
          <w:rFonts w:ascii="Arial" w:cs="Arial" w:eastAsia="Arial" w:hAnsi="Arial"/>
          <w:sz w:val="22"/>
          <w:szCs w:val="22"/>
          <w:rtl w:val="0"/>
        </w:rPr>
        <w:t xml:space="preserve">obce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snižuje o jednu dvanáctinu za každý kalendářní měsíc, na jehož konci</w:t>
      </w:r>
    </w:p>
    <w:p w:rsidR="00000000" w:rsidDel="00000000" w:rsidP="00000000" w:rsidRDefault="00000000" w:rsidRPr="00000000" w14:paraId="0000001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v této nemovité věci přihlášena alespoň 1 fyzická osoba,</w:t>
      </w:r>
    </w:p>
    <w:p w:rsidR="00000000" w:rsidDel="00000000" w:rsidP="00000000" w:rsidRDefault="00000000" w:rsidRPr="00000000" w14:paraId="0000001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 nevlastní tuto nemovitou věc,</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nebo je poplatník od poplatku osvobozen.</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5</w:t>
        <w:br w:type="textWrapping"/>
        <w:t xml:space="preserve">Splatnost poplatku</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Poplatek je splatný nejpozději do 31. </w:t>
      </w:r>
      <w:r w:rsidDel="00000000" w:rsidR="00000000" w:rsidRPr="00000000">
        <w:rPr>
          <w:rFonts w:ascii="Arial" w:cs="Arial" w:eastAsia="Arial" w:hAnsi="Arial"/>
          <w:sz w:val="22"/>
          <w:szCs w:val="22"/>
          <w:rtl w:val="0"/>
        </w:rPr>
        <w:t xml:space="preserve">června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příslušného kalendářního roku.</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Vznikne-li poplatková povinnost po datu splatnosti uvedeném v odstavci 1, je poplatek splatný nejpozději do patnáctého dne měsíce, který následuje po měsíci, ve kterém poplatková povinnost vznikla.</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Lhůta splatnosti neskončí poplatníkovi dříve než lhůta pro podání ohlášení podle čl. 3 odst. 1 této vyhlášky.</w:t>
      </w:r>
    </w:p>
    <w:p w:rsidR="00000000" w:rsidDel="00000000" w:rsidP="00000000" w:rsidRDefault="00000000" w:rsidRPr="00000000" w14:paraId="0000001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6</w:t>
        <w:br w:type="textWrapping"/>
        <w:t xml:space="preserve"> Osvobození</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 poplatku je osvobozena osoba, které poplatková povinnost vznikla z důvodu přihlášení v</w:t>
      </w:r>
      <w:r w:rsidDel="00000000" w:rsidR="00000000" w:rsidRPr="00000000">
        <w:rPr>
          <w:rFonts w:ascii="Arial" w:cs="Arial" w:eastAsia="Arial" w:hAnsi="Arial"/>
          <w:sz w:val="22"/>
          <w:szCs w:val="22"/>
          <w:rtl w:val="0"/>
        </w:rPr>
        <w:t xml:space="preserve"> obci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která je</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poplatníkem poplatku za odkládání komunálního odpadu z nemovité věci v jiné obci a má v této jiné obci bydliště,</w:t>
      </w:r>
    </w:p>
    <w:p w:rsidR="00000000" w:rsidDel="00000000" w:rsidP="00000000" w:rsidRDefault="00000000" w:rsidRPr="00000000" w14:paraId="0000002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umístěna do dětského domova pro děti do 3 let věku, školského zařízení pro výkon ústavní nebo ochranné výchovy nebo školského zařízení pro preventivně výchovnou péči na základě rozhodnutí soudu nebo smlouvy,</w:t>
      </w:r>
    </w:p>
    <w:p w:rsidR="00000000" w:rsidDel="00000000" w:rsidP="00000000" w:rsidRDefault="00000000" w:rsidRPr="00000000" w14:paraId="0000002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umístěna do zařízení pro děti vyžadující okamžitou pomoc na základě rozhodnutí soudu, na žádost obecního úřadu obce s rozšířenou působností, zákonného zástupce dítěte nebo nezletilého,</w:t>
      </w:r>
    </w:p>
    <w:p w:rsidR="00000000" w:rsidDel="00000000" w:rsidP="00000000" w:rsidRDefault="00000000" w:rsidRPr="00000000" w14:paraId="0000002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umístěna v domově pro osoby se zdravotním postižením, domově pro seniory, domově se zvláštním režimem nebo v chráněném bydlení,</w:t>
      </w:r>
    </w:p>
    <w:p w:rsidR="00000000" w:rsidDel="00000000" w:rsidP="00000000" w:rsidRDefault="00000000" w:rsidRPr="00000000" w14:paraId="0000002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76" w:lineRule="auto"/>
        <w:ind w:left="964" w:right="0" w:hanging="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nebo na základě zákona omezena na osobní svobodě s výjimkou osoby vykonávající trest domácího vězení.</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Od poplatku se dále osvobozuje: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fyzická osoba, která je držitelem průkazu ZTP/P,</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fyzická osoba (dítě) narozená v příslušném kalendářním roce,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fyzická osoba, která v příslušném kalendářním roce nepřetržitě pobývá v zahraničí.</w:t>
      </w:r>
    </w:p>
    <w:p w:rsidR="00000000" w:rsidDel="00000000" w:rsidP="00000000" w:rsidRDefault="00000000" w:rsidRPr="00000000" w14:paraId="0000002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Poplatník je povinen ohlásit údaj rozhodný pro osvobození do 30 dnů ode dne vzniku skutečnosti zakládající nárok na případné osvobození od poplatkové povinnosti. Ve stejné lhůtě je povinen oznámit také zánik nároku na osvobození. V případě, že poplatník nesplní povinnost ohlásit ve stanovené lhůtě údaj rozhodný pro osvobození, nárok na případné osvobození zaniká</w:t>
      </w:r>
      <w:r w:rsidDel="00000000" w:rsidR="00000000" w:rsidRPr="00000000">
        <w:rPr>
          <w:rFonts w:ascii="Arial" w:cs="Arial" w:eastAsia="Arial" w:hAnsi="Arial"/>
          <w:b w:val="0"/>
          <w:i w:val="0"/>
          <w:smallCaps w:val="0"/>
          <w:strike w:val="0"/>
          <w:color w:val="000000"/>
          <w:sz w:val="16"/>
          <w:szCs w:val="16"/>
          <w:u w:val="none"/>
          <w:shd w:fill="auto" w:val="clear"/>
          <w:vertAlign w:val="superscript"/>
        </w:rPr>
        <w:footnoteReference w:customMarkFollows="0"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7</w:t>
        <w:br w:type="textWrapping"/>
        <w:t xml:space="preserve">Přechodné a zrušovací ustanovení</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Poplatkové povinnosti vzniklé před nabytím účinnosti této vyhlášky se posuzují podle dosavadních právních předpisů.</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76" w:lineRule="auto"/>
        <w:ind w:left="567" w:right="0" w:hanging="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Zrušuje se obecně závazná vyhláška č. </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místním poplatku za obecní systém odpadového hospodářství, ze dne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1</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prosince 202</w:t>
      </w:r>
      <w:r w:rsidDel="00000000" w:rsidR="00000000" w:rsidRPr="00000000">
        <w:rPr>
          <w:rFonts w:ascii="Arial" w:cs="Arial" w:eastAsia="Arial" w:hAnsi="Arial"/>
          <w:sz w:val="22"/>
          <w:szCs w:val="22"/>
          <w:rtl w:val="0"/>
        </w:rPr>
        <w:t xml:space="preserve">1.</w:t>
      </w:r>
      <w:r w:rsidDel="00000000" w:rsidR="00000000" w:rsidRPr="00000000">
        <w:rPr>
          <w:rtl w:val="0"/>
        </w:rPr>
      </w:r>
    </w:p>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Čl. 8</w:t>
        <w:br w:type="textWrapping"/>
        <w:t xml:space="preserve">Účinnost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Tato vyhláška nabývá účinnosti dnem 1. ledna 2024.</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sz w:val="22"/>
          <w:szCs w:val="22"/>
          <w:u w:val="no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sz w:val="22"/>
          <w:szCs w:val="22"/>
        </w:rPr>
      </w:pPr>
      <w:r w:rsidDel="00000000" w:rsidR="00000000" w:rsidRPr="00000000">
        <w:rPr>
          <w:rtl w:val="0"/>
        </w:rPr>
      </w:r>
    </w:p>
    <w:tbl>
      <w:tblPr>
        <w:tblStyle w:val="Table1"/>
        <w:tblW w:w="9641.0" w:type="dxa"/>
        <w:jc w:val="left"/>
        <w:tblInd w:w="-55.0" w:type="dxa"/>
        <w:tblLayout w:type="fixed"/>
        <w:tblLook w:val="0000"/>
      </w:tblPr>
      <w:tblGrid>
        <w:gridCol w:w="4820"/>
        <w:gridCol w:w="4821"/>
        <w:tblGridChange w:id="0">
          <w:tblGrid>
            <w:gridCol w:w="4820"/>
            <w:gridCol w:w="4821"/>
          </w:tblGrid>
        </w:tblGridChange>
      </w:tblGrid>
      <w:tr>
        <w:trPr>
          <w:cantSplit w:val="0"/>
          <w:trHeight w:val="1134" w:hRule="atLeast"/>
          <w:tblHeader w:val="0"/>
        </w:trPr>
        <w:tc>
          <w:tcPr>
            <w:tcMar>
              <w:top w:w="55.0" w:type="dxa"/>
              <w:left w:w="55.0" w:type="dxa"/>
              <w:bottom w:w="55.0" w:type="dxa"/>
              <w:right w:w="55.0" w:type="dxa"/>
            </w:tcMa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Martin Matějka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starosta</w:t>
            </w:r>
          </w:p>
        </w:tc>
        <w:tc>
          <w:tcPr>
            <w:tcMar>
              <w:top w:w="55.0" w:type="dxa"/>
              <w:left w:w="55.0" w:type="dxa"/>
              <w:bottom w:w="55.0" w:type="dxa"/>
              <w:right w:w="55.0" w:type="dxa"/>
            </w:tcMa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Eliška Lupačová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 místostarostka</w:t>
            </w:r>
          </w:p>
        </w:tc>
      </w:tr>
      <w:tr>
        <w:trPr>
          <w:cantSplit w:val="0"/>
          <w:trHeight w:val="1134" w:hRule="atLeast"/>
          <w:tblHeader w:val="0"/>
        </w:trPr>
        <w:tc>
          <w:tcPr>
            <w:tcMar>
              <w:top w:w="55.0" w:type="dxa"/>
              <w:left w:w="55.0" w:type="dxa"/>
              <w:bottom w:w="55.0" w:type="dxa"/>
              <w:right w:w="55.0" w:type="dxa"/>
            </w:tcMa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Mar>
              <w:top w:w="55.0" w:type="dxa"/>
              <w:left w:w="55.0" w:type="dxa"/>
              <w:bottom w:w="55.0" w:type="dxa"/>
              <w:right w:w="55.0" w:type="dxa"/>
            </w:tcM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sectPr>
      <w:pgSz w:h="16834" w:w="11909" w:orient="portrait"/>
      <w:pgMar w:bottom="1134" w:top="1134"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erif"/>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10o odst. 1 zákona o místních poplatcích</w:t>
      </w:r>
    </w:p>
  </w:footnote>
  <w:footnote w:id="1">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15 odst. 1 zákona o místních poplatcích</w:t>
      </w:r>
    </w:p>
  </w:footnote>
  <w:footnote w:id="2">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10e zákona o místních poplatcích</w:t>
      </w:r>
    </w:p>
  </w:footnote>
  <w:footnote w:id="3">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4">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10p zákona o místních poplatcích</w:t>
      </w:r>
    </w:p>
  </w:footnote>
  <w:footnote w:id="5">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1 a 2 zákona o místních poplatcích; v ohlášení poplatník uvede zejména své identifikační údaje a skutečnosti rozhodné pro stanovení poplatku</w:t>
      </w:r>
    </w:p>
  </w:footnote>
  <w:footnote w:id="6">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14a odst. 4 zákona o místních poplatcích</w:t>
      </w:r>
    </w:p>
  </w:footnote>
  <w:footnote w:id="7">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70" w:right="0" w:hanging="17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10g zákona o místních poplatcích</w:t>
      </w:r>
    </w:p>
  </w:footnote>
  <w:footnote w:id="8">
    <w:p w:rsidR="00000000" w:rsidDel="00000000" w:rsidP="00000000" w:rsidRDefault="00000000" w:rsidRPr="00000000" w14:paraId="0000004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2">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4">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6">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7">
    <w:lvl w:ilvl="0">
      <w:start w:val="1"/>
      <w:numFmt w:val="decimal"/>
      <w:lvlText w:val="(%1)"/>
      <w:lvlJc w:val="left"/>
      <w:pPr>
        <w:ind w:left="567" w:hanging="567"/>
      </w:pPr>
      <w:rPr>
        <w:vertAlign w:val="baseline"/>
      </w:rPr>
    </w:lvl>
    <w:lvl w:ilvl="1">
      <w:start w:val="1"/>
      <w:numFmt w:val="lowerLetter"/>
      <w:lvlText w:val="%2)"/>
      <w:lvlJc w:val="left"/>
      <w:pPr>
        <w:ind w:left="964" w:hanging="397"/>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4tMwOpQ7LK/VLYh8Tx3vhizZw==">CgMxLjA4AHIhMXBicWtVLTZaZ251dFFOajVoRDZka0w5LTRJWHlyNjc3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