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notes+xml" PartName="/word/footnot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keepNext w:val="1"/>
        <w:keepLines w:val="0"/>
        <w:pageBreakBefore w:val="0"/>
        <w:widowControl w:val="1"/>
        <w:pBdr>
          <w:top w:space="0" w:sz="0" w:val="nil"/>
          <w:left w:space="0" w:sz="0" w:val="nil"/>
          <w:bottom w:space="0" w:sz="0" w:val="nil"/>
          <w:right w:space="0" w:sz="0" w:val="nil"/>
          <w:between w:space="0" w:sz="0" w:val="nil"/>
        </w:pBdr>
        <w:shd w:fill="auto" w:val="clear"/>
        <w:spacing w:after="120" w:before="240" w:line="240" w:lineRule="auto"/>
        <w:ind w:left="0" w:right="0" w:firstLine="0"/>
        <w:jc w:val="center"/>
        <w:rPr>
          <w:rFonts w:ascii="Arial" w:cs="Arial" w:eastAsia="Arial" w:hAnsi="Arial"/>
          <w:b w:val="1"/>
          <w:i w:val="0"/>
          <w:smallCaps w:val="0"/>
          <w:strike w:val="0"/>
          <w:color w:val="000000"/>
          <w:sz w:val="28"/>
          <w:szCs w:val="28"/>
          <w:u w:val="none"/>
          <w:shd w:fill="auto" w:val="clear"/>
          <w:vertAlign w:val="baseline"/>
        </w:rPr>
      </w:pPr>
      <w:r w:rsidDel="00000000" w:rsidR="00000000" w:rsidRPr="00000000">
        <w:rPr>
          <w:rFonts w:ascii="Arial" w:cs="Arial" w:eastAsia="Arial" w:hAnsi="Arial"/>
          <w:b w:val="1"/>
          <w:sz w:val="28"/>
          <w:szCs w:val="28"/>
          <w:rtl w:val="0"/>
        </w:rPr>
        <w:t xml:space="preserve">Obec Veliš</w:t>
      </w:r>
      <w:r w:rsidDel="00000000" w:rsidR="00000000" w:rsidRPr="00000000">
        <w:rPr>
          <w:rFonts w:ascii="Arial" w:cs="Arial" w:eastAsia="Arial" w:hAnsi="Arial"/>
          <w:b w:val="1"/>
          <w:i w:val="0"/>
          <w:smallCaps w:val="0"/>
          <w:strike w:val="0"/>
          <w:color w:val="000000"/>
          <w:sz w:val="28"/>
          <w:szCs w:val="28"/>
          <w:u w:val="none"/>
          <w:shd w:fill="auto" w:val="clear"/>
          <w:vertAlign w:val="baseline"/>
          <w:rtl w:val="0"/>
        </w:rPr>
        <w:br w:type="textWrapping"/>
        <w:t xml:space="preserve">Zastupitelstvo </w:t>
      </w:r>
      <w:r w:rsidDel="00000000" w:rsidR="00000000" w:rsidRPr="00000000">
        <w:rPr>
          <w:rFonts w:ascii="Arial" w:cs="Arial" w:eastAsia="Arial" w:hAnsi="Arial"/>
          <w:b w:val="1"/>
          <w:sz w:val="28"/>
          <w:szCs w:val="28"/>
          <w:rtl w:val="0"/>
        </w:rPr>
        <w:t xml:space="preserve">obce Veliš</w:t>
      </w:r>
      <w:r w:rsidDel="00000000" w:rsidR="00000000" w:rsidRPr="00000000">
        <w:rPr>
          <w:rtl w:val="0"/>
        </w:rPr>
      </w:r>
    </w:p>
    <w:p w:rsidR="00000000" w:rsidDel="00000000" w:rsidP="00000000" w:rsidRDefault="00000000" w:rsidRPr="00000000" w14:paraId="00000002">
      <w:pPr>
        <w:keepNext w:val="1"/>
        <w:keepLines w:val="0"/>
        <w:pageBreakBefore w:val="0"/>
        <w:widowControl w:val="1"/>
        <w:pBdr>
          <w:top w:space="0" w:sz="0" w:val="nil"/>
          <w:left w:space="0" w:sz="0" w:val="nil"/>
          <w:bottom w:space="0" w:sz="0" w:val="nil"/>
          <w:right w:space="0" w:sz="0" w:val="nil"/>
          <w:between w:space="0" w:sz="0" w:val="nil"/>
        </w:pBdr>
        <w:shd w:fill="auto" w:val="clear"/>
        <w:spacing w:after="238" w:before="238" w:line="240" w:lineRule="auto"/>
        <w:ind w:left="0" w:right="0" w:firstLine="0"/>
        <w:jc w:val="center"/>
        <w:rPr>
          <w:rFonts w:ascii="Arial" w:cs="Arial" w:eastAsia="Arial" w:hAnsi="Arial"/>
          <w:b w:val="1"/>
          <w:i w:val="0"/>
          <w:smallCaps w:val="0"/>
          <w:strike w:val="0"/>
          <w:color w:val="000000"/>
          <w:sz w:val="28"/>
          <w:szCs w:val="28"/>
          <w:u w:val="none"/>
          <w:shd w:fill="auto" w:val="clear"/>
          <w:vertAlign w:val="baseline"/>
        </w:rPr>
      </w:pPr>
      <w:r w:rsidDel="00000000" w:rsidR="00000000" w:rsidRPr="00000000">
        <w:rPr>
          <w:rFonts w:ascii="Arial" w:cs="Arial" w:eastAsia="Arial" w:hAnsi="Arial"/>
          <w:b w:val="1"/>
          <w:i w:val="0"/>
          <w:smallCaps w:val="0"/>
          <w:strike w:val="0"/>
          <w:color w:val="000000"/>
          <w:sz w:val="28"/>
          <w:szCs w:val="28"/>
          <w:u w:val="none"/>
          <w:shd w:fill="auto" w:val="clear"/>
          <w:vertAlign w:val="baseline"/>
          <w:rtl w:val="0"/>
        </w:rPr>
        <w:t xml:space="preserve">Obecně závazná vyhláška </w:t>
      </w:r>
      <w:r w:rsidDel="00000000" w:rsidR="00000000" w:rsidRPr="00000000">
        <w:rPr>
          <w:rFonts w:ascii="Arial" w:cs="Arial" w:eastAsia="Arial" w:hAnsi="Arial"/>
          <w:b w:val="1"/>
          <w:sz w:val="28"/>
          <w:szCs w:val="28"/>
          <w:rtl w:val="0"/>
        </w:rPr>
        <w:t xml:space="preserve">obce Veliš</w:t>
      </w:r>
      <w:r w:rsidDel="00000000" w:rsidR="00000000" w:rsidRPr="00000000">
        <w:rPr>
          <w:rFonts w:ascii="Arial" w:cs="Arial" w:eastAsia="Arial" w:hAnsi="Arial"/>
          <w:b w:val="1"/>
          <w:i w:val="0"/>
          <w:smallCaps w:val="0"/>
          <w:strike w:val="0"/>
          <w:color w:val="000000"/>
          <w:sz w:val="28"/>
          <w:szCs w:val="28"/>
          <w:u w:val="none"/>
          <w:shd w:fill="auto" w:val="clear"/>
          <w:vertAlign w:val="baseline"/>
          <w:rtl w:val="0"/>
        </w:rPr>
        <w:br w:type="textWrapping"/>
        <w:t xml:space="preserve">o místním poplatku za obecní systém odpadového hospodářství</w:t>
      </w:r>
    </w:p>
    <w:p w:rsidR="00000000" w:rsidDel="00000000" w:rsidP="00000000" w:rsidRDefault="00000000" w:rsidRPr="00000000" w14:paraId="00000003">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62" w:line="276" w:lineRule="auto"/>
        <w:ind w:left="0" w:right="0" w:firstLine="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04">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62" w:line="276" w:lineRule="auto"/>
        <w:ind w:left="0" w:right="0" w:firstLine="0"/>
        <w:jc w:val="both"/>
        <w:rPr>
          <w:rFonts w:ascii="Arial" w:cs="Arial" w:eastAsia="Arial" w:hAnsi="Arial"/>
          <w:b w:val="1"/>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Zastupitelstvo </w:t>
      </w:r>
      <w:r w:rsidDel="00000000" w:rsidR="00000000" w:rsidRPr="00000000">
        <w:rPr>
          <w:rFonts w:ascii="Arial" w:cs="Arial" w:eastAsia="Arial" w:hAnsi="Arial"/>
          <w:sz w:val="22"/>
          <w:szCs w:val="22"/>
          <w:rtl w:val="0"/>
        </w:rPr>
        <w:t xml:space="preserve">obce Veliš</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 se na svém zasedání dne </w:t>
      </w:r>
      <w:r w:rsidDel="00000000" w:rsidR="00000000" w:rsidRPr="00000000">
        <w:rPr>
          <w:rFonts w:ascii="Arial" w:cs="Arial" w:eastAsia="Arial" w:hAnsi="Arial"/>
          <w:sz w:val="22"/>
          <w:szCs w:val="22"/>
          <w:rtl w:val="0"/>
        </w:rPr>
        <w:t xml:space="preserve">15.prosince 2023</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 usneslo vydat na základě § 14 zákona č. 565/1990 Sb., o místních poplatcích, ve znění pozdějších předpisů (dále jen „zákon o místních poplatcích“), a v souladu s § 10 písm. d) a § 84 odst. 2 písm. h) zákona č. 128/2000 Sb., o obcích (obecní zřízení), ve znění pozdějších předpisů, tuto obecně závaznou vyhlášku (dále jen „vyhláška“):</w:t>
      </w:r>
      <w:r w:rsidDel="00000000" w:rsidR="00000000" w:rsidRPr="00000000">
        <w:rPr>
          <w:rtl w:val="0"/>
        </w:rPr>
      </w:r>
    </w:p>
    <w:p w:rsidR="00000000" w:rsidDel="00000000" w:rsidP="00000000" w:rsidRDefault="00000000" w:rsidRPr="00000000" w14:paraId="00000005">
      <w:pPr>
        <w:keepNext w:val="1"/>
        <w:keepLines w:val="0"/>
        <w:pageBreakBefore w:val="0"/>
        <w:widowControl w:val="1"/>
        <w:pBdr>
          <w:top w:space="0" w:sz="0" w:val="nil"/>
          <w:left w:space="0" w:sz="0" w:val="nil"/>
          <w:bottom w:space="0" w:sz="0" w:val="nil"/>
          <w:right w:space="0" w:sz="0" w:val="nil"/>
          <w:between w:space="0" w:sz="0" w:val="nil"/>
        </w:pBdr>
        <w:shd w:fill="auto" w:val="clear"/>
        <w:spacing w:after="120" w:before="360" w:line="276" w:lineRule="auto"/>
        <w:ind w:left="0" w:right="0" w:firstLine="0"/>
        <w:jc w:val="center"/>
        <w:rPr>
          <w:rFonts w:ascii="Arial" w:cs="Arial" w:eastAsia="Arial" w:hAnsi="Arial"/>
          <w:b w:val="1"/>
          <w:i w:val="0"/>
          <w:smallCaps w:val="0"/>
          <w:strike w:val="0"/>
          <w:color w:val="000000"/>
          <w:sz w:val="24"/>
          <w:szCs w:val="24"/>
          <w:u w:val="none"/>
          <w:shd w:fill="auto" w:val="clear"/>
          <w:vertAlign w:val="baseline"/>
        </w:rPr>
      </w:pP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Čl. 1</w:t>
        <w:br w:type="textWrapping"/>
        <w:t xml:space="preserve">Úvodní ustanovení</w:t>
      </w:r>
    </w:p>
    <w:p w:rsidR="00000000" w:rsidDel="00000000" w:rsidP="00000000" w:rsidRDefault="00000000" w:rsidRPr="00000000" w14:paraId="00000006">
      <w:pPr>
        <w:keepNext w:val="0"/>
        <w:keepLines w:val="0"/>
        <w:pageBreakBefore w:val="0"/>
        <w:widowControl w:val="1"/>
        <w:numPr>
          <w:ilvl w:val="0"/>
          <w:numId w:val="7"/>
        </w:numPr>
        <w:pBdr>
          <w:top w:space="0" w:sz="0" w:val="nil"/>
          <w:left w:space="0" w:sz="0" w:val="nil"/>
          <w:bottom w:space="0" w:sz="0" w:val="nil"/>
          <w:right w:space="0" w:sz="0" w:val="nil"/>
          <w:between w:space="0" w:sz="0" w:val="nil"/>
        </w:pBdr>
        <w:shd w:fill="auto" w:val="clear"/>
        <w:spacing w:after="120" w:before="0" w:line="276" w:lineRule="auto"/>
        <w:ind w:left="567" w:right="0" w:hanging="567"/>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sz w:val="22"/>
          <w:szCs w:val="22"/>
          <w:rtl w:val="0"/>
        </w:rPr>
        <w:t xml:space="preserve">Obec Veliš</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 touto vyhláškou zavádí místní poplatek za obecní systém odpadového hospodářství (dále jen „poplatek“).</w:t>
      </w:r>
    </w:p>
    <w:p w:rsidR="00000000" w:rsidDel="00000000" w:rsidP="00000000" w:rsidRDefault="00000000" w:rsidRPr="00000000" w14:paraId="00000007">
      <w:pPr>
        <w:keepNext w:val="0"/>
        <w:keepLines w:val="0"/>
        <w:pageBreakBefore w:val="0"/>
        <w:widowControl w:val="1"/>
        <w:numPr>
          <w:ilvl w:val="0"/>
          <w:numId w:val="7"/>
        </w:numPr>
        <w:pBdr>
          <w:top w:space="0" w:sz="0" w:val="nil"/>
          <w:left w:space="0" w:sz="0" w:val="nil"/>
          <w:bottom w:space="0" w:sz="0" w:val="nil"/>
          <w:right w:space="0" w:sz="0" w:val="nil"/>
          <w:between w:space="0" w:sz="0" w:val="nil"/>
        </w:pBdr>
        <w:shd w:fill="auto" w:val="clear"/>
        <w:spacing w:after="120" w:before="0" w:line="276" w:lineRule="auto"/>
        <w:ind w:left="567" w:right="0" w:hanging="567"/>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Poplatkovým obdobím poplatku je kalendářní rok</w:t>
      </w:r>
      <w:r w:rsidDel="00000000" w:rsidR="00000000" w:rsidRPr="00000000">
        <w:rPr>
          <w:rFonts w:ascii="Arial" w:cs="Arial" w:eastAsia="Arial" w:hAnsi="Arial"/>
          <w:b w:val="0"/>
          <w:i w:val="0"/>
          <w:smallCaps w:val="0"/>
          <w:strike w:val="0"/>
          <w:color w:val="000000"/>
          <w:sz w:val="22"/>
          <w:szCs w:val="22"/>
          <w:u w:val="none"/>
          <w:shd w:fill="auto" w:val="clear"/>
          <w:vertAlign w:val="superscript"/>
        </w:rPr>
        <w:footnoteReference w:customMarkFollows="0" w:id="0"/>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w:t>
      </w:r>
    </w:p>
    <w:p w:rsidR="00000000" w:rsidDel="00000000" w:rsidP="00000000" w:rsidRDefault="00000000" w:rsidRPr="00000000" w14:paraId="00000008">
      <w:pPr>
        <w:keepNext w:val="0"/>
        <w:keepLines w:val="0"/>
        <w:pageBreakBefore w:val="0"/>
        <w:widowControl w:val="1"/>
        <w:numPr>
          <w:ilvl w:val="0"/>
          <w:numId w:val="7"/>
        </w:numPr>
        <w:pBdr>
          <w:top w:space="0" w:sz="0" w:val="nil"/>
          <w:left w:space="0" w:sz="0" w:val="nil"/>
          <w:bottom w:space="0" w:sz="0" w:val="nil"/>
          <w:right w:space="0" w:sz="0" w:val="nil"/>
          <w:between w:space="0" w:sz="0" w:val="nil"/>
        </w:pBdr>
        <w:shd w:fill="auto" w:val="clear"/>
        <w:spacing w:after="120" w:before="0" w:line="276" w:lineRule="auto"/>
        <w:ind w:left="567" w:right="0" w:hanging="567"/>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Správcem poplatku je </w:t>
      </w:r>
      <w:r w:rsidDel="00000000" w:rsidR="00000000" w:rsidRPr="00000000">
        <w:rPr>
          <w:rFonts w:ascii="Arial" w:cs="Arial" w:eastAsia="Arial" w:hAnsi="Arial"/>
          <w:sz w:val="22"/>
          <w:szCs w:val="22"/>
          <w:rtl w:val="0"/>
        </w:rPr>
        <w:t xml:space="preserve">obecní</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 úřad</w:t>
      </w:r>
      <w:r w:rsidDel="00000000" w:rsidR="00000000" w:rsidRPr="00000000">
        <w:rPr>
          <w:rFonts w:ascii="Arial" w:cs="Arial" w:eastAsia="Arial" w:hAnsi="Arial"/>
          <w:b w:val="0"/>
          <w:i w:val="0"/>
          <w:smallCaps w:val="0"/>
          <w:strike w:val="0"/>
          <w:color w:val="000000"/>
          <w:sz w:val="22"/>
          <w:szCs w:val="22"/>
          <w:u w:val="none"/>
          <w:shd w:fill="auto" w:val="clear"/>
          <w:vertAlign w:val="superscript"/>
        </w:rPr>
        <w:footnoteReference w:customMarkFollows="0" w:id="1"/>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w:t>
      </w:r>
    </w:p>
    <w:p w:rsidR="00000000" w:rsidDel="00000000" w:rsidP="00000000" w:rsidRDefault="00000000" w:rsidRPr="00000000" w14:paraId="00000009">
      <w:pPr>
        <w:keepNext w:val="1"/>
        <w:keepLines w:val="0"/>
        <w:pageBreakBefore w:val="0"/>
        <w:widowControl w:val="1"/>
        <w:pBdr>
          <w:top w:space="0" w:sz="0" w:val="nil"/>
          <w:left w:space="0" w:sz="0" w:val="nil"/>
          <w:bottom w:space="0" w:sz="0" w:val="nil"/>
          <w:right w:space="0" w:sz="0" w:val="nil"/>
          <w:between w:space="0" w:sz="0" w:val="nil"/>
        </w:pBdr>
        <w:shd w:fill="auto" w:val="clear"/>
        <w:spacing w:after="120" w:before="360" w:line="276" w:lineRule="auto"/>
        <w:ind w:left="0" w:right="0" w:firstLine="0"/>
        <w:jc w:val="center"/>
        <w:rPr>
          <w:rFonts w:ascii="Arial" w:cs="Arial" w:eastAsia="Arial" w:hAnsi="Arial"/>
          <w:b w:val="1"/>
          <w:i w:val="0"/>
          <w:smallCaps w:val="0"/>
          <w:strike w:val="0"/>
          <w:color w:val="000000"/>
          <w:sz w:val="24"/>
          <w:szCs w:val="24"/>
          <w:u w:val="none"/>
          <w:shd w:fill="auto" w:val="clear"/>
          <w:vertAlign w:val="baseline"/>
        </w:rPr>
      </w:pP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Čl. 2</w:t>
        <w:br w:type="textWrapping"/>
        <w:t xml:space="preserve">Poplatník</w:t>
      </w:r>
    </w:p>
    <w:p w:rsidR="00000000" w:rsidDel="00000000" w:rsidP="00000000" w:rsidRDefault="00000000" w:rsidRPr="00000000" w14:paraId="0000000A">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120" w:before="0" w:line="276" w:lineRule="auto"/>
        <w:ind w:left="567" w:right="0" w:hanging="567"/>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Poplatníkem poplatku je</w:t>
      </w:r>
      <w:r w:rsidDel="00000000" w:rsidR="00000000" w:rsidRPr="00000000">
        <w:rPr>
          <w:rFonts w:ascii="Arial" w:cs="Arial" w:eastAsia="Arial" w:hAnsi="Arial"/>
          <w:b w:val="0"/>
          <w:i w:val="0"/>
          <w:smallCaps w:val="0"/>
          <w:strike w:val="0"/>
          <w:color w:val="000000"/>
          <w:sz w:val="22"/>
          <w:szCs w:val="22"/>
          <w:u w:val="none"/>
          <w:shd w:fill="auto" w:val="clear"/>
          <w:vertAlign w:val="superscript"/>
        </w:rPr>
        <w:footnoteReference w:customMarkFollows="0" w:id="2"/>
      </w:r>
      <w:r w:rsidDel="00000000" w:rsidR="00000000" w:rsidRPr="00000000">
        <w:rPr>
          <w:rtl w:val="0"/>
        </w:rPr>
      </w:r>
    </w:p>
    <w:p w:rsidR="00000000" w:rsidDel="00000000" w:rsidP="00000000" w:rsidRDefault="00000000" w:rsidRPr="00000000" w14:paraId="0000000B">
      <w:pPr>
        <w:keepNext w:val="0"/>
        <w:keepLines w:val="0"/>
        <w:pageBreakBefore w:val="0"/>
        <w:widowControl w:val="1"/>
        <w:numPr>
          <w:ilvl w:val="1"/>
          <w:numId w:val="1"/>
        </w:numPr>
        <w:pBdr>
          <w:top w:space="0" w:sz="0" w:val="nil"/>
          <w:left w:space="0" w:sz="0" w:val="nil"/>
          <w:bottom w:space="0" w:sz="0" w:val="nil"/>
          <w:right w:space="0" w:sz="0" w:val="nil"/>
          <w:between w:space="0" w:sz="0" w:val="nil"/>
        </w:pBdr>
        <w:shd w:fill="auto" w:val="clear"/>
        <w:spacing w:after="120" w:before="0" w:line="276" w:lineRule="auto"/>
        <w:ind w:left="964" w:right="0" w:hanging="397"/>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fyzická osoba přihlášená </w:t>
      </w:r>
      <w:r w:rsidDel="00000000" w:rsidR="00000000" w:rsidRPr="00000000">
        <w:rPr>
          <w:rFonts w:ascii="Arial" w:cs="Arial" w:eastAsia="Arial" w:hAnsi="Arial"/>
          <w:sz w:val="22"/>
          <w:szCs w:val="22"/>
          <w:rtl w:val="0"/>
        </w:rPr>
        <w:t xml:space="preserve">v obci</w:t>
      </w:r>
      <w:r w:rsidDel="00000000" w:rsidR="00000000" w:rsidRPr="00000000">
        <w:rPr>
          <w:rFonts w:ascii="Arial" w:cs="Arial" w:eastAsia="Arial" w:hAnsi="Arial"/>
          <w:b w:val="0"/>
          <w:i w:val="0"/>
          <w:smallCaps w:val="0"/>
          <w:strike w:val="0"/>
          <w:color w:val="000000"/>
          <w:sz w:val="22"/>
          <w:szCs w:val="22"/>
          <w:u w:val="none"/>
          <w:shd w:fill="auto" w:val="clear"/>
          <w:vertAlign w:val="superscript"/>
        </w:rPr>
        <w:footnoteReference w:customMarkFollows="0" w:id="3"/>
      </w:r>
      <w:r w:rsidDel="00000000" w:rsidR="00000000" w:rsidRPr="00000000">
        <w:rPr>
          <w:rtl w:val="0"/>
        </w:rPr>
      </w:r>
    </w:p>
    <w:p w:rsidR="00000000" w:rsidDel="00000000" w:rsidP="00000000" w:rsidRDefault="00000000" w:rsidRPr="00000000" w14:paraId="0000000C">
      <w:pPr>
        <w:keepNext w:val="0"/>
        <w:keepLines w:val="0"/>
        <w:pageBreakBefore w:val="0"/>
        <w:widowControl w:val="1"/>
        <w:numPr>
          <w:ilvl w:val="1"/>
          <w:numId w:val="1"/>
        </w:numPr>
        <w:pBdr>
          <w:top w:space="0" w:sz="0" w:val="nil"/>
          <w:left w:space="0" w:sz="0" w:val="nil"/>
          <w:bottom w:space="0" w:sz="0" w:val="nil"/>
          <w:right w:space="0" w:sz="0" w:val="nil"/>
          <w:between w:space="0" w:sz="0" w:val="nil"/>
        </w:pBdr>
        <w:shd w:fill="auto" w:val="clear"/>
        <w:spacing w:after="120" w:before="0" w:line="276" w:lineRule="auto"/>
        <w:ind w:left="964" w:right="0" w:hanging="397"/>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nebo vlastník nemovité věci zahrnující byt, rodinný dům nebo stavbu pro rodinnou rekreaci, ve které není přihlášená žádná fyzická osoba a která je umístěna na území </w:t>
      </w:r>
      <w:r w:rsidDel="00000000" w:rsidR="00000000" w:rsidRPr="00000000">
        <w:rPr>
          <w:rFonts w:ascii="Arial" w:cs="Arial" w:eastAsia="Arial" w:hAnsi="Arial"/>
          <w:sz w:val="22"/>
          <w:szCs w:val="22"/>
          <w:rtl w:val="0"/>
        </w:rPr>
        <w:t xml:space="preserve">obce</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w:t>
      </w:r>
    </w:p>
    <w:p w:rsidR="00000000" w:rsidDel="00000000" w:rsidP="00000000" w:rsidRDefault="00000000" w:rsidRPr="00000000" w14:paraId="0000000D">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120" w:before="0" w:line="276" w:lineRule="auto"/>
        <w:ind w:left="567" w:right="0" w:hanging="567"/>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Spoluvlastníci nemovité věci zahrnující byt, rodinný dům nebo stavbu pro rodinnou rekreaci jsou povinni plnit poplatkovou povinnost společně a nerozdílně</w:t>
      </w:r>
      <w:r w:rsidDel="00000000" w:rsidR="00000000" w:rsidRPr="00000000">
        <w:rPr>
          <w:rFonts w:ascii="Arial" w:cs="Arial" w:eastAsia="Arial" w:hAnsi="Arial"/>
          <w:b w:val="0"/>
          <w:i w:val="0"/>
          <w:smallCaps w:val="0"/>
          <w:strike w:val="0"/>
          <w:color w:val="000000"/>
          <w:sz w:val="22"/>
          <w:szCs w:val="22"/>
          <w:u w:val="none"/>
          <w:shd w:fill="auto" w:val="clear"/>
          <w:vertAlign w:val="superscript"/>
        </w:rPr>
        <w:footnoteReference w:customMarkFollows="0" w:id="4"/>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w:t>
      </w:r>
      <w:r w:rsidDel="00000000" w:rsidR="00000000" w:rsidRPr="00000000">
        <w:rPr>
          <w:rtl w:val="0"/>
        </w:rPr>
      </w:r>
    </w:p>
    <w:p w:rsidR="00000000" w:rsidDel="00000000" w:rsidP="00000000" w:rsidRDefault="00000000" w:rsidRPr="00000000" w14:paraId="0000000E">
      <w:pPr>
        <w:keepNext w:val="1"/>
        <w:keepLines w:val="0"/>
        <w:pageBreakBefore w:val="0"/>
        <w:widowControl w:val="1"/>
        <w:pBdr>
          <w:top w:space="0" w:sz="0" w:val="nil"/>
          <w:left w:space="0" w:sz="0" w:val="nil"/>
          <w:bottom w:space="0" w:sz="0" w:val="nil"/>
          <w:right w:space="0" w:sz="0" w:val="nil"/>
          <w:between w:space="0" w:sz="0" w:val="nil"/>
        </w:pBdr>
        <w:shd w:fill="auto" w:val="clear"/>
        <w:spacing w:after="120" w:before="360" w:line="276" w:lineRule="auto"/>
        <w:ind w:left="0" w:right="0" w:firstLine="0"/>
        <w:jc w:val="center"/>
        <w:rPr>
          <w:rFonts w:ascii="Arial" w:cs="Arial" w:eastAsia="Arial" w:hAnsi="Arial"/>
          <w:b w:val="1"/>
          <w:i w:val="0"/>
          <w:smallCaps w:val="0"/>
          <w:strike w:val="0"/>
          <w:color w:val="000000"/>
          <w:sz w:val="24"/>
          <w:szCs w:val="24"/>
          <w:u w:val="none"/>
          <w:shd w:fill="auto" w:val="clear"/>
          <w:vertAlign w:val="baseline"/>
        </w:rPr>
      </w:pP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Čl. 3</w:t>
        <w:br w:type="textWrapping"/>
        <w:t xml:space="preserve">Ohlašovací povinnost</w:t>
      </w:r>
    </w:p>
    <w:p w:rsidR="00000000" w:rsidDel="00000000" w:rsidP="00000000" w:rsidRDefault="00000000" w:rsidRPr="00000000" w14:paraId="0000000F">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120" w:before="0" w:line="276" w:lineRule="auto"/>
        <w:ind w:left="567" w:right="0" w:hanging="567"/>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Poplatník je povinen podat správci poplatku ohlášení nejpozději do 30 dnů ode dne vzniku své poplatkové povinnosti; údaje uváděné v ohlášení upravuje zákon</w:t>
      </w:r>
      <w:r w:rsidDel="00000000" w:rsidR="00000000" w:rsidRPr="00000000">
        <w:rPr>
          <w:rFonts w:ascii="Arial" w:cs="Arial" w:eastAsia="Arial" w:hAnsi="Arial"/>
          <w:b w:val="0"/>
          <w:i w:val="0"/>
          <w:smallCaps w:val="0"/>
          <w:strike w:val="0"/>
          <w:color w:val="000000"/>
          <w:sz w:val="22"/>
          <w:szCs w:val="22"/>
          <w:u w:val="none"/>
          <w:shd w:fill="auto" w:val="clear"/>
          <w:vertAlign w:val="superscript"/>
        </w:rPr>
        <w:footnoteReference w:customMarkFollows="0" w:id="5"/>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w:t>
      </w:r>
    </w:p>
    <w:p w:rsidR="00000000" w:rsidDel="00000000" w:rsidP="00000000" w:rsidRDefault="00000000" w:rsidRPr="00000000" w14:paraId="00000010">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120" w:before="0" w:line="276" w:lineRule="auto"/>
        <w:ind w:left="567" w:right="0" w:hanging="567"/>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Dojde-li ke změně údajů uvedených v ohlášení, je poplatník povinen tuto změnu oznámit </w:t>
      </w:r>
    </w:p>
    <w:p w:rsidR="00000000" w:rsidDel="00000000" w:rsidP="00000000" w:rsidRDefault="00000000" w:rsidRPr="00000000" w14:paraId="00000011">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76" w:lineRule="auto"/>
        <w:ind w:left="567" w:right="0" w:firstLine="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do 30 dnů ode dne, kdy nastala</w:t>
      </w:r>
      <w:r w:rsidDel="00000000" w:rsidR="00000000" w:rsidRPr="00000000">
        <w:rPr>
          <w:rFonts w:ascii="Arial" w:cs="Arial" w:eastAsia="Arial" w:hAnsi="Arial"/>
          <w:b w:val="0"/>
          <w:i w:val="0"/>
          <w:smallCaps w:val="0"/>
          <w:strike w:val="0"/>
          <w:color w:val="000000"/>
          <w:sz w:val="22"/>
          <w:szCs w:val="22"/>
          <w:u w:val="none"/>
          <w:shd w:fill="auto" w:val="clear"/>
          <w:vertAlign w:val="superscript"/>
        </w:rPr>
        <w:footnoteReference w:customMarkFollows="0" w:id="6"/>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w:t>
      </w:r>
    </w:p>
    <w:p w:rsidR="00000000" w:rsidDel="00000000" w:rsidP="00000000" w:rsidRDefault="00000000" w:rsidRPr="00000000" w14:paraId="00000012">
      <w:pPr>
        <w:keepNext w:val="1"/>
        <w:keepLines w:val="0"/>
        <w:pageBreakBefore w:val="0"/>
        <w:widowControl w:val="1"/>
        <w:pBdr>
          <w:top w:space="0" w:sz="0" w:val="nil"/>
          <w:left w:space="0" w:sz="0" w:val="nil"/>
          <w:bottom w:space="0" w:sz="0" w:val="nil"/>
          <w:right w:space="0" w:sz="0" w:val="nil"/>
          <w:between w:space="0" w:sz="0" w:val="nil"/>
        </w:pBdr>
        <w:shd w:fill="auto" w:val="clear"/>
        <w:spacing w:after="120" w:before="360" w:line="276" w:lineRule="auto"/>
        <w:ind w:left="0" w:right="0" w:firstLine="0"/>
        <w:jc w:val="center"/>
        <w:rPr>
          <w:rFonts w:ascii="Arial" w:cs="Arial" w:eastAsia="Arial" w:hAnsi="Arial"/>
          <w:b w:val="1"/>
          <w:i w:val="0"/>
          <w:smallCaps w:val="0"/>
          <w:strike w:val="0"/>
          <w:color w:val="000000"/>
          <w:sz w:val="24"/>
          <w:szCs w:val="24"/>
          <w:u w:val="none"/>
          <w:shd w:fill="auto" w:val="clear"/>
          <w:vertAlign w:val="baseline"/>
        </w:rPr>
      </w:pP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Čl. 4</w:t>
        <w:br w:type="textWrapping"/>
        <w:t xml:space="preserve">Sazba poplatku</w:t>
      </w:r>
    </w:p>
    <w:p w:rsidR="00000000" w:rsidDel="00000000" w:rsidP="00000000" w:rsidRDefault="00000000" w:rsidRPr="00000000" w14:paraId="00000013">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120" w:before="0" w:line="276" w:lineRule="auto"/>
        <w:ind w:left="567" w:right="0" w:hanging="567"/>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Sazba poplatku za kalendářní rok činí </w:t>
      </w:r>
      <w:r w:rsidDel="00000000" w:rsidR="00000000" w:rsidRPr="00000000">
        <w:rPr>
          <w:rFonts w:ascii="Arial" w:cs="Arial" w:eastAsia="Arial" w:hAnsi="Arial"/>
          <w:sz w:val="22"/>
          <w:szCs w:val="22"/>
          <w:rtl w:val="0"/>
        </w:rPr>
        <w:t xml:space="preserve">7</w:t>
      </w:r>
      <w:r w:rsidDel="00000000" w:rsidR="00000000" w:rsidRPr="00000000">
        <w:rPr>
          <w:rFonts w:ascii="Arial" w:cs="Arial" w:eastAsia="Arial" w:hAnsi="Arial"/>
          <w:b w:val="0"/>
          <w:i w:val="0"/>
          <w:smallCaps w:val="0"/>
          <w:strike w:val="0"/>
          <w:color w:val="000000"/>
          <w:sz w:val="22"/>
          <w:szCs w:val="22"/>
          <w:u w:val="none"/>
          <w:vertAlign w:val="baseline"/>
          <w:rtl w:val="0"/>
        </w:rPr>
        <w:t xml:space="preserve">00 Kč.</w:t>
      </w:r>
      <w:r w:rsidDel="00000000" w:rsidR="00000000" w:rsidRPr="00000000">
        <w:rPr>
          <w:rtl w:val="0"/>
        </w:rPr>
      </w:r>
    </w:p>
    <w:p w:rsidR="00000000" w:rsidDel="00000000" w:rsidP="00000000" w:rsidRDefault="00000000" w:rsidRPr="00000000" w14:paraId="00000014">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120" w:before="0" w:line="276" w:lineRule="auto"/>
        <w:ind w:left="567" w:right="0" w:hanging="567"/>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Poplatek se v případě, že poplatková povinnost vznikla z důvodu přihlášení fyzické osoby </w:t>
      </w:r>
      <w:r w:rsidDel="00000000" w:rsidR="00000000" w:rsidRPr="00000000">
        <w:rPr>
          <w:rFonts w:ascii="Arial" w:cs="Arial" w:eastAsia="Arial" w:hAnsi="Arial"/>
          <w:sz w:val="22"/>
          <w:szCs w:val="22"/>
          <w:rtl w:val="0"/>
        </w:rPr>
        <w:t xml:space="preserve">v obci</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 snižuje o jednu dvanáctinu za každý kalendářní měsíc, na jehož konci</w:t>
      </w:r>
    </w:p>
    <w:p w:rsidR="00000000" w:rsidDel="00000000" w:rsidP="00000000" w:rsidRDefault="00000000" w:rsidRPr="00000000" w14:paraId="00000015">
      <w:pPr>
        <w:keepNext w:val="0"/>
        <w:keepLines w:val="0"/>
        <w:pageBreakBefore w:val="0"/>
        <w:widowControl w:val="1"/>
        <w:numPr>
          <w:ilvl w:val="1"/>
          <w:numId w:val="3"/>
        </w:numPr>
        <w:pBdr>
          <w:top w:space="0" w:sz="0" w:val="nil"/>
          <w:left w:space="0" w:sz="0" w:val="nil"/>
          <w:bottom w:space="0" w:sz="0" w:val="nil"/>
          <w:right w:space="0" w:sz="0" w:val="nil"/>
          <w:between w:space="0" w:sz="0" w:val="nil"/>
        </w:pBdr>
        <w:shd w:fill="auto" w:val="clear"/>
        <w:spacing w:after="120" w:before="0" w:line="276" w:lineRule="auto"/>
        <w:ind w:left="964" w:right="0" w:hanging="397"/>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není tato fyzická osoba přihlášena v</w:t>
      </w:r>
      <w:r w:rsidDel="00000000" w:rsidR="00000000" w:rsidRPr="00000000">
        <w:rPr>
          <w:rFonts w:ascii="Arial" w:cs="Arial" w:eastAsia="Arial" w:hAnsi="Arial"/>
          <w:sz w:val="22"/>
          <w:szCs w:val="22"/>
          <w:rtl w:val="0"/>
        </w:rPr>
        <w:t xml:space="preserve"> obci</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w:t>
      </w:r>
    </w:p>
    <w:p w:rsidR="00000000" w:rsidDel="00000000" w:rsidP="00000000" w:rsidRDefault="00000000" w:rsidRPr="00000000" w14:paraId="00000016">
      <w:pPr>
        <w:keepNext w:val="0"/>
        <w:keepLines w:val="0"/>
        <w:pageBreakBefore w:val="0"/>
        <w:widowControl w:val="1"/>
        <w:numPr>
          <w:ilvl w:val="1"/>
          <w:numId w:val="3"/>
        </w:numPr>
        <w:pBdr>
          <w:top w:space="0" w:sz="0" w:val="nil"/>
          <w:left w:space="0" w:sz="0" w:val="nil"/>
          <w:bottom w:space="0" w:sz="0" w:val="nil"/>
          <w:right w:space="0" w:sz="0" w:val="nil"/>
          <w:between w:space="0" w:sz="0" w:val="nil"/>
        </w:pBdr>
        <w:shd w:fill="auto" w:val="clear"/>
        <w:spacing w:after="120" w:before="0" w:line="276" w:lineRule="auto"/>
        <w:ind w:left="964" w:right="0" w:hanging="397"/>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nebo je tato fyzická osoba od poplatku osvobozena.</w:t>
      </w:r>
    </w:p>
    <w:p w:rsidR="00000000" w:rsidDel="00000000" w:rsidP="00000000" w:rsidRDefault="00000000" w:rsidRPr="00000000" w14:paraId="00000017">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120" w:before="0" w:line="276" w:lineRule="auto"/>
        <w:ind w:left="567" w:right="0" w:hanging="567"/>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Poplatek se v případě, že poplatková povinnost vznikla z důvodu vlastnictví jednotlivé nemovité věci zahrnující byt, rodinný dům nebo stavbu pro rodinnou rekreaci umístěné na území </w:t>
      </w:r>
      <w:r w:rsidDel="00000000" w:rsidR="00000000" w:rsidRPr="00000000">
        <w:rPr>
          <w:rFonts w:ascii="Arial" w:cs="Arial" w:eastAsia="Arial" w:hAnsi="Arial"/>
          <w:sz w:val="22"/>
          <w:szCs w:val="22"/>
          <w:rtl w:val="0"/>
        </w:rPr>
        <w:t xml:space="preserve">obce</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 snižuje o jednu dvanáctinu za každý kalendářní měsíc, na jehož konci</w:t>
      </w:r>
    </w:p>
    <w:p w:rsidR="00000000" w:rsidDel="00000000" w:rsidP="00000000" w:rsidRDefault="00000000" w:rsidRPr="00000000" w14:paraId="00000018">
      <w:pPr>
        <w:keepNext w:val="0"/>
        <w:keepLines w:val="0"/>
        <w:pageBreakBefore w:val="0"/>
        <w:widowControl w:val="1"/>
        <w:numPr>
          <w:ilvl w:val="1"/>
          <w:numId w:val="3"/>
        </w:numPr>
        <w:pBdr>
          <w:top w:space="0" w:sz="0" w:val="nil"/>
          <w:left w:space="0" w:sz="0" w:val="nil"/>
          <w:bottom w:space="0" w:sz="0" w:val="nil"/>
          <w:right w:space="0" w:sz="0" w:val="nil"/>
          <w:between w:space="0" w:sz="0" w:val="nil"/>
        </w:pBdr>
        <w:shd w:fill="auto" w:val="clear"/>
        <w:spacing w:after="120" w:before="0" w:line="276" w:lineRule="auto"/>
        <w:ind w:left="964" w:right="0" w:hanging="397"/>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je v této nemovité věci přihlášena alespoň 1 fyzická osoba,</w:t>
      </w:r>
    </w:p>
    <w:p w:rsidR="00000000" w:rsidDel="00000000" w:rsidP="00000000" w:rsidRDefault="00000000" w:rsidRPr="00000000" w14:paraId="00000019">
      <w:pPr>
        <w:keepNext w:val="0"/>
        <w:keepLines w:val="0"/>
        <w:pageBreakBefore w:val="0"/>
        <w:widowControl w:val="1"/>
        <w:numPr>
          <w:ilvl w:val="1"/>
          <w:numId w:val="3"/>
        </w:numPr>
        <w:pBdr>
          <w:top w:space="0" w:sz="0" w:val="nil"/>
          <w:left w:space="0" w:sz="0" w:val="nil"/>
          <w:bottom w:space="0" w:sz="0" w:val="nil"/>
          <w:right w:space="0" w:sz="0" w:val="nil"/>
          <w:between w:space="0" w:sz="0" w:val="nil"/>
        </w:pBdr>
        <w:shd w:fill="auto" w:val="clear"/>
        <w:spacing w:after="120" w:before="0" w:line="276" w:lineRule="auto"/>
        <w:ind w:left="964" w:right="0" w:hanging="397"/>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poplatník nevlastní tuto nemovitou věc,</w:t>
      </w:r>
    </w:p>
    <w:p w:rsidR="00000000" w:rsidDel="00000000" w:rsidP="00000000" w:rsidRDefault="00000000" w:rsidRPr="00000000" w14:paraId="0000001A">
      <w:pPr>
        <w:keepNext w:val="0"/>
        <w:keepLines w:val="0"/>
        <w:pageBreakBefore w:val="0"/>
        <w:widowControl w:val="1"/>
        <w:numPr>
          <w:ilvl w:val="1"/>
          <w:numId w:val="3"/>
        </w:numPr>
        <w:pBdr>
          <w:top w:space="0" w:sz="0" w:val="nil"/>
          <w:left w:space="0" w:sz="0" w:val="nil"/>
          <w:bottom w:space="0" w:sz="0" w:val="nil"/>
          <w:right w:space="0" w:sz="0" w:val="nil"/>
          <w:between w:space="0" w:sz="0" w:val="nil"/>
        </w:pBdr>
        <w:shd w:fill="auto" w:val="clear"/>
        <w:spacing w:after="120" w:before="0" w:line="276" w:lineRule="auto"/>
        <w:ind w:left="964" w:right="0" w:hanging="397"/>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nebo je poplatník od poplatku osvobozen.</w:t>
      </w:r>
    </w:p>
    <w:p w:rsidR="00000000" w:rsidDel="00000000" w:rsidP="00000000" w:rsidRDefault="00000000" w:rsidRPr="00000000" w14:paraId="0000001B">
      <w:pPr>
        <w:keepNext w:val="1"/>
        <w:keepLines w:val="0"/>
        <w:pageBreakBefore w:val="0"/>
        <w:widowControl w:val="1"/>
        <w:pBdr>
          <w:top w:space="0" w:sz="0" w:val="nil"/>
          <w:left w:space="0" w:sz="0" w:val="nil"/>
          <w:bottom w:space="0" w:sz="0" w:val="nil"/>
          <w:right w:space="0" w:sz="0" w:val="nil"/>
          <w:between w:space="0" w:sz="0" w:val="nil"/>
        </w:pBdr>
        <w:shd w:fill="auto" w:val="clear"/>
        <w:spacing w:after="120" w:before="360" w:line="276" w:lineRule="auto"/>
        <w:ind w:left="0" w:right="0" w:firstLine="0"/>
        <w:jc w:val="center"/>
        <w:rPr>
          <w:rFonts w:ascii="Arial" w:cs="Arial" w:eastAsia="Arial" w:hAnsi="Arial"/>
          <w:b w:val="1"/>
          <w:i w:val="0"/>
          <w:smallCaps w:val="0"/>
          <w:strike w:val="0"/>
          <w:color w:val="000000"/>
          <w:sz w:val="24"/>
          <w:szCs w:val="24"/>
          <w:u w:val="none"/>
          <w:shd w:fill="auto" w:val="clear"/>
          <w:vertAlign w:val="baseline"/>
        </w:rPr>
      </w:pP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Čl. 5</w:t>
        <w:br w:type="textWrapping"/>
        <w:t xml:space="preserve">Splatnost poplatku</w:t>
      </w:r>
    </w:p>
    <w:p w:rsidR="00000000" w:rsidDel="00000000" w:rsidP="00000000" w:rsidRDefault="00000000" w:rsidRPr="00000000" w14:paraId="0000001C">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120" w:before="0" w:line="276" w:lineRule="auto"/>
        <w:ind w:left="567" w:right="0" w:hanging="567"/>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Poplatek je splatný nejpozději do 31. </w:t>
      </w:r>
      <w:r w:rsidDel="00000000" w:rsidR="00000000" w:rsidRPr="00000000">
        <w:rPr>
          <w:rFonts w:ascii="Arial" w:cs="Arial" w:eastAsia="Arial" w:hAnsi="Arial"/>
          <w:sz w:val="22"/>
          <w:szCs w:val="22"/>
          <w:rtl w:val="0"/>
        </w:rPr>
        <w:t xml:space="preserve">června</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 příslušného kalendářního roku.</w:t>
      </w:r>
    </w:p>
    <w:p w:rsidR="00000000" w:rsidDel="00000000" w:rsidP="00000000" w:rsidRDefault="00000000" w:rsidRPr="00000000" w14:paraId="0000001D">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120" w:before="0" w:line="276" w:lineRule="auto"/>
        <w:ind w:left="567" w:right="0" w:hanging="567"/>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Vznikne-li poplatková povinnost po datu splatnosti uvedeném v odstavci 1, je poplatek splatný nejpozději do patnáctého dne měsíce, který následuje po měsíci, ve kterém poplatková povinnost vznikla.</w:t>
      </w:r>
    </w:p>
    <w:p w:rsidR="00000000" w:rsidDel="00000000" w:rsidP="00000000" w:rsidRDefault="00000000" w:rsidRPr="00000000" w14:paraId="0000001E">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120" w:before="0" w:line="276" w:lineRule="auto"/>
        <w:ind w:left="567" w:right="0" w:hanging="567"/>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Lhůta splatnosti neskončí poplatníkovi dříve než lhůta pro podání ohlášení podle čl. 3 odst. 1 této vyhlášky.</w:t>
      </w:r>
    </w:p>
    <w:p w:rsidR="00000000" w:rsidDel="00000000" w:rsidP="00000000" w:rsidRDefault="00000000" w:rsidRPr="00000000" w14:paraId="0000001F">
      <w:pPr>
        <w:keepNext w:val="1"/>
        <w:keepLines w:val="0"/>
        <w:pageBreakBefore w:val="0"/>
        <w:widowControl w:val="1"/>
        <w:pBdr>
          <w:top w:space="0" w:sz="0" w:val="nil"/>
          <w:left w:space="0" w:sz="0" w:val="nil"/>
          <w:bottom w:space="0" w:sz="0" w:val="nil"/>
          <w:right w:space="0" w:sz="0" w:val="nil"/>
          <w:between w:space="0" w:sz="0" w:val="nil"/>
        </w:pBdr>
        <w:shd w:fill="auto" w:val="clear"/>
        <w:spacing w:after="120" w:before="360" w:line="276" w:lineRule="auto"/>
        <w:ind w:left="0" w:right="0" w:firstLine="0"/>
        <w:jc w:val="center"/>
        <w:rPr>
          <w:rFonts w:ascii="Arial" w:cs="Arial" w:eastAsia="Arial" w:hAnsi="Arial"/>
          <w:b w:val="1"/>
          <w:i w:val="0"/>
          <w:smallCaps w:val="0"/>
          <w:strike w:val="0"/>
          <w:color w:val="000000"/>
          <w:sz w:val="24"/>
          <w:szCs w:val="24"/>
          <w:u w:val="none"/>
          <w:shd w:fill="auto" w:val="clear"/>
          <w:vertAlign w:val="baseline"/>
        </w:rPr>
      </w:pP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Čl. 6</w:t>
        <w:br w:type="textWrapping"/>
        <w:t xml:space="preserve"> Osvobození</w:t>
      </w:r>
    </w:p>
    <w:p w:rsidR="00000000" w:rsidDel="00000000" w:rsidP="00000000" w:rsidRDefault="00000000" w:rsidRPr="00000000" w14:paraId="00000020">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120" w:before="0" w:line="276" w:lineRule="auto"/>
        <w:ind w:left="567" w:right="0" w:hanging="567"/>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Od poplatku je osvobozena osoba, které poplatková povinnost vznikla z důvodu přihlášení v</w:t>
      </w:r>
      <w:r w:rsidDel="00000000" w:rsidR="00000000" w:rsidRPr="00000000">
        <w:rPr>
          <w:rFonts w:ascii="Arial" w:cs="Arial" w:eastAsia="Arial" w:hAnsi="Arial"/>
          <w:sz w:val="22"/>
          <w:szCs w:val="22"/>
          <w:rtl w:val="0"/>
        </w:rPr>
        <w:t xml:space="preserve"> obci</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 a která je</w:t>
      </w:r>
      <w:r w:rsidDel="00000000" w:rsidR="00000000" w:rsidRPr="00000000">
        <w:rPr>
          <w:rFonts w:ascii="Arial" w:cs="Arial" w:eastAsia="Arial" w:hAnsi="Arial"/>
          <w:b w:val="0"/>
          <w:i w:val="0"/>
          <w:smallCaps w:val="0"/>
          <w:strike w:val="0"/>
          <w:color w:val="000000"/>
          <w:sz w:val="22"/>
          <w:szCs w:val="22"/>
          <w:u w:val="none"/>
          <w:shd w:fill="auto" w:val="clear"/>
          <w:vertAlign w:val="superscript"/>
        </w:rPr>
        <w:footnoteReference w:customMarkFollows="0" w:id="7"/>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w:t>
      </w:r>
    </w:p>
    <w:p w:rsidR="00000000" w:rsidDel="00000000" w:rsidP="00000000" w:rsidRDefault="00000000" w:rsidRPr="00000000" w14:paraId="00000021">
      <w:pPr>
        <w:keepNext w:val="0"/>
        <w:keepLines w:val="0"/>
        <w:pageBreakBefore w:val="0"/>
        <w:widowControl w:val="1"/>
        <w:numPr>
          <w:ilvl w:val="1"/>
          <w:numId w:val="5"/>
        </w:numPr>
        <w:pBdr>
          <w:top w:space="0" w:sz="0" w:val="nil"/>
          <w:left w:space="0" w:sz="0" w:val="nil"/>
          <w:bottom w:space="0" w:sz="0" w:val="nil"/>
          <w:right w:space="0" w:sz="0" w:val="nil"/>
          <w:between w:space="0" w:sz="0" w:val="nil"/>
        </w:pBdr>
        <w:shd w:fill="auto" w:val="clear"/>
        <w:spacing w:after="120" w:before="0" w:line="276" w:lineRule="auto"/>
        <w:ind w:left="964" w:right="0" w:hanging="397"/>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poplatníkem poplatku za odkládání komunálního odpadu z nemovité věci v jiné obci a má v této jiné obci bydliště,</w:t>
      </w:r>
    </w:p>
    <w:p w:rsidR="00000000" w:rsidDel="00000000" w:rsidP="00000000" w:rsidRDefault="00000000" w:rsidRPr="00000000" w14:paraId="00000022">
      <w:pPr>
        <w:keepNext w:val="0"/>
        <w:keepLines w:val="0"/>
        <w:pageBreakBefore w:val="0"/>
        <w:widowControl w:val="1"/>
        <w:numPr>
          <w:ilvl w:val="1"/>
          <w:numId w:val="5"/>
        </w:numPr>
        <w:pBdr>
          <w:top w:space="0" w:sz="0" w:val="nil"/>
          <w:left w:space="0" w:sz="0" w:val="nil"/>
          <w:bottom w:space="0" w:sz="0" w:val="nil"/>
          <w:right w:space="0" w:sz="0" w:val="nil"/>
          <w:between w:space="0" w:sz="0" w:val="nil"/>
        </w:pBdr>
        <w:shd w:fill="auto" w:val="clear"/>
        <w:spacing w:after="120" w:before="0" w:line="276" w:lineRule="auto"/>
        <w:ind w:left="964" w:right="0" w:hanging="397"/>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umístěna do dětského domova pro děti do 3 let věku, školského zařízení pro výkon ústavní nebo ochranné výchovy nebo školského zařízení pro preventivně výchovnou péči na základě rozhodnutí soudu nebo smlouvy,</w:t>
      </w:r>
    </w:p>
    <w:p w:rsidR="00000000" w:rsidDel="00000000" w:rsidP="00000000" w:rsidRDefault="00000000" w:rsidRPr="00000000" w14:paraId="00000023">
      <w:pPr>
        <w:keepNext w:val="0"/>
        <w:keepLines w:val="0"/>
        <w:pageBreakBefore w:val="0"/>
        <w:widowControl w:val="1"/>
        <w:numPr>
          <w:ilvl w:val="1"/>
          <w:numId w:val="5"/>
        </w:numPr>
        <w:pBdr>
          <w:top w:space="0" w:sz="0" w:val="nil"/>
          <w:left w:space="0" w:sz="0" w:val="nil"/>
          <w:bottom w:space="0" w:sz="0" w:val="nil"/>
          <w:right w:space="0" w:sz="0" w:val="nil"/>
          <w:between w:space="0" w:sz="0" w:val="nil"/>
        </w:pBdr>
        <w:shd w:fill="auto" w:val="clear"/>
        <w:spacing w:after="120" w:before="0" w:line="276" w:lineRule="auto"/>
        <w:ind w:left="964" w:right="0" w:hanging="397"/>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umístěna do zařízení pro děti vyžadující okamžitou pomoc na základě rozhodnutí soudu, na žádost obecního úřadu obce s rozšířenou působností, zákonného zástupce dítěte nebo nezletilého,</w:t>
      </w:r>
    </w:p>
    <w:p w:rsidR="00000000" w:rsidDel="00000000" w:rsidP="00000000" w:rsidRDefault="00000000" w:rsidRPr="00000000" w14:paraId="00000024">
      <w:pPr>
        <w:keepNext w:val="0"/>
        <w:keepLines w:val="0"/>
        <w:pageBreakBefore w:val="0"/>
        <w:widowControl w:val="1"/>
        <w:numPr>
          <w:ilvl w:val="1"/>
          <w:numId w:val="5"/>
        </w:numPr>
        <w:pBdr>
          <w:top w:space="0" w:sz="0" w:val="nil"/>
          <w:left w:space="0" w:sz="0" w:val="nil"/>
          <w:bottom w:space="0" w:sz="0" w:val="nil"/>
          <w:right w:space="0" w:sz="0" w:val="nil"/>
          <w:between w:space="0" w:sz="0" w:val="nil"/>
        </w:pBdr>
        <w:shd w:fill="auto" w:val="clear"/>
        <w:spacing w:after="120" w:before="0" w:line="276" w:lineRule="auto"/>
        <w:ind w:left="964" w:right="0" w:hanging="397"/>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umístěna v domově pro osoby se zdravotním postižením, domově pro seniory, domově se zvláštním režimem nebo v chráněném bydlení,</w:t>
      </w:r>
    </w:p>
    <w:p w:rsidR="00000000" w:rsidDel="00000000" w:rsidP="00000000" w:rsidRDefault="00000000" w:rsidRPr="00000000" w14:paraId="00000025">
      <w:pPr>
        <w:keepNext w:val="0"/>
        <w:keepLines w:val="0"/>
        <w:pageBreakBefore w:val="0"/>
        <w:widowControl w:val="1"/>
        <w:numPr>
          <w:ilvl w:val="1"/>
          <w:numId w:val="5"/>
        </w:numPr>
        <w:pBdr>
          <w:top w:space="0" w:sz="0" w:val="nil"/>
          <w:left w:space="0" w:sz="0" w:val="nil"/>
          <w:bottom w:space="0" w:sz="0" w:val="nil"/>
          <w:right w:space="0" w:sz="0" w:val="nil"/>
          <w:between w:space="0" w:sz="0" w:val="nil"/>
        </w:pBdr>
        <w:shd w:fill="auto" w:val="clear"/>
        <w:spacing w:after="120" w:before="0" w:line="276" w:lineRule="auto"/>
        <w:ind w:left="964" w:right="0" w:hanging="397"/>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nebo na základě zákona omezena na osobní svobodě s výjimkou osoby vykonávající trest domácího vězení.</w:t>
      </w:r>
    </w:p>
    <w:p w:rsidR="00000000" w:rsidDel="00000000" w:rsidP="00000000" w:rsidRDefault="00000000" w:rsidRPr="00000000" w14:paraId="00000026">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76" w:lineRule="auto"/>
        <w:ind w:left="0" w:right="0" w:firstLine="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w:t>
      </w:r>
      <w:r w:rsidDel="00000000" w:rsidR="00000000" w:rsidRPr="00000000">
        <w:rPr>
          <w:rFonts w:ascii="Arial" w:cs="Arial" w:eastAsia="Arial" w:hAnsi="Arial"/>
          <w:sz w:val="22"/>
          <w:szCs w:val="22"/>
          <w:rtl w:val="0"/>
        </w:rPr>
        <w:t xml:space="preserve">2</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    Od poplatku se dále osvobozuje: </w:t>
      </w:r>
    </w:p>
    <w:p w:rsidR="00000000" w:rsidDel="00000000" w:rsidP="00000000" w:rsidRDefault="00000000" w:rsidRPr="00000000" w14:paraId="00000027">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76" w:lineRule="auto"/>
        <w:ind w:left="0" w:right="0" w:firstLine="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ab/>
        <w:t xml:space="preserve">- fyzická osoba, která je držitelem průkazu ZTP/P,</w:t>
      </w:r>
    </w:p>
    <w:p w:rsidR="00000000" w:rsidDel="00000000" w:rsidP="00000000" w:rsidRDefault="00000000" w:rsidRPr="00000000" w14:paraId="00000028">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76" w:lineRule="auto"/>
        <w:ind w:left="0" w:right="0" w:firstLine="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ab/>
        <w:t xml:space="preserve">- fyzická osoba (dítě) narozená v příslušném kalendářním roce,</w:t>
      </w:r>
    </w:p>
    <w:p w:rsidR="00000000" w:rsidDel="00000000" w:rsidP="00000000" w:rsidRDefault="00000000" w:rsidRPr="00000000" w14:paraId="00000029">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76" w:lineRule="auto"/>
        <w:ind w:left="0" w:right="0" w:firstLine="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ab/>
        <w:t xml:space="preserve">- fyzická osoba, která v příslušném kalendářním roce nepřetržitě pobývá v zahraničí.</w:t>
      </w:r>
    </w:p>
    <w:p w:rsidR="00000000" w:rsidDel="00000000" w:rsidP="00000000" w:rsidRDefault="00000000" w:rsidRPr="00000000" w14:paraId="0000002A">
      <w:pPr>
        <w:keepNext w:val="0"/>
        <w:keepLines w:val="0"/>
        <w:pageBreakBefore w:val="0"/>
        <w:widowControl w:val="1"/>
        <w:pBdr>
          <w:top w:color="000000" w:space="0" w:sz="0" w:val="none"/>
          <w:left w:color="000000" w:space="0" w:sz="0" w:val="none"/>
          <w:bottom w:color="000000" w:space="0" w:sz="0" w:val="none"/>
          <w:right w:color="000000" w:space="0" w:sz="0" w:val="none"/>
          <w:between w:space="0" w:sz="0" w:val="nil"/>
        </w:pBdr>
        <w:shd w:fill="auto" w:val="clear"/>
        <w:spacing w:after="120" w:before="0" w:line="276" w:lineRule="auto"/>
        <w:ind w:left="0" w:right="0" w:firstLine="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2B">
      <w:pPr>
        <w:keepNext w:val="0"/>
        <w:keepLines w:val="0"/>
        <w:pageBreakBefore w:val="0"/>
        <w:widowControl w:val="1"/>
        <w:pBdr>
          <w:top w:color="000000" w:space="0" w:sz="0" w:val="none"/>
          <w:left w:color="000000" w:space="0" w:sz="0" w:val="none"/>
          <w:bottom w:color="000000" w:space="0" w:sz="0" w:val="none"/>
          <w:right w:color="000000" w:space="0" w:sz="0" w:val="none"/>
          <w:between w:space="0" w:sz="0" w:val="nil"/>
        </w:pBdr>
        <w:shd w:fill="auto" w:val="clear"/>
        <w:spacing w:after="120" w:before="0" w:line="276" w:lineRule="auto"/>
        <w:ind w:left="0" w:right="0" w:firstLine="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w:t>
      </w:r>
      <w:r w:rsidDel="00000000" w:rsidR="00000000" w:rsidRPr="00000000">
        <w:rPr>
          <w:rFonts w:ascii="Arial" w:cs="Arial" w:eastAsia="Arial" w:hAnsi="Arial"/>
          <w:sz w:val="22"/>
          <w:szCs w:val="22"/>
          <w:rtl w:val="0"/>
        </w:rPr>
        <w:t xml:space="preserve">3</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   Poplatník je povinen ohlásit údaj rozhodný pro osvobození do 30 dnů ode dne vzniku skutečnosti zakládající nárok na případné osvobození od poplatkové povinnosti. Ve stejné lhůtě je povinen oznámit také zánik nároku na osvobození. V případě, že poplatník nesplní povinnost ohlásit ve stanovené lhůtě údaj rozhodný pro osvobození, nárok na případné osvobození zaniká</w:t>
      </w:r>
      <w:r w:rsidDel="00000000" w:rsidR="00000000" w:rsidRPr="00000000">
        <w:rPr>
          <w:rFonts w:ascii="Arial" w:cs="Arial" w:eastAsia="Arial" w:hAnsi="Arial"/>
          <w:b w:val="0"/>
          <w:i w:val="0"/>
          <w:smallCaps w:val="0"/>
          <w:strike w:val="0"/>
          <w:color w:val="000000"/>
          <w:sz w:val="16"/>
          <w:szCs w:val="16"/>
          <w:u w:val="none"/>
          <w:shd w:fill="auto" w:val="clear"/>
          <w:vertAlign w:val="superscript"/>
        </w:rPr>
        <w:footnoteReference w:customMarkFollows="0" w:id="8"/>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w:t>
      </w:r>
    </w:p>
    <w:p w:rsidR="00000000" w:rsidDel="00000000" w:rsidP="00000000" w:rsidRDefault="00000000" w:rsidRPr="00000000" w14:paraId="0000002C">
      <w:pPr>
        <w:keepNext w:val="1"/>
        <w:keepLines w:val="0"/>
        <w:pageBreakBefore w:val="0"/>
        <w:widowControl w:val="1"/>
        <w:pBdr>
          <w:top w:space="0" w:sz="0" w:val="nil"/>
          <w:left w:space="0" w:sz="0" w:val="nil"/>
          <w:bottom w:space="0" w:sz="0" w:val="nil"/>
          <w:right w:space="0" w:sz="0" w:val="nil"/>
          <w:between w:space="0" w:sz="0" w:val="nil"/>
        </w:pBdr>
        <w:shd w:fill="auto" w:val="clear"/>
        <w:spacing w:after="120" w:before="360" w:line="276" w:lineRule="auto"/>
        <w:ind w:left="0" w:right="0" w:firstLine="0"/>
        <w:jc w:val="center"/>
        <w:rPr>
          <w:rFonts w:ascii="Arial" w:cs="Arial" w:eastAsia="Arial" w:hAnsi="Arial"/>
          <w:b w:val="1"/>
          <w:i w:val="0"/>
          <w:smallCaps w:val="0"/>
          <w:strike w:val="0"/>
          <w:color w:val="000000"/>
          <w:sz w:val="24"/>
          <w:szCs w:val="24"/>
          <w:u w:val="none"/>
          <w:shd w:fill="auto" w:val="clear"/>
          <w:vertAlign w:val="baseline"/>
        </w:rPr>
      </w:pP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Čl. 7</w:t>
        <w:br w:type="textWrapping"/>
        <w:t xml:space="preserve">Přechodné a zrušovací ustanovení</w:t>
      </w:r>
    </w:p>
    <w:p w:rsidR="00000000" w:rsidDel="00000000" w:rsidP="00000000" w:rsidRDefault="00000000" w:rsidRPr="00000000" w14:paraId="0000002D">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spacing w:after="120" w:before="0" w:line="276" w:lineRule="auto"/>
        <w:ind w:left="567" w:right="0" w:hanging="567"/>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Poplatkové povinnosti vzniklé před nabytím účinnosti této vyhlášky se posuzují podle dosavadních právních předpisů.</w:t>
      </w:r>
      <w:r w:rsidDel="00000000" w:rsidR="00000000" w:rsidRPr="00000000">
        <w:rPr>
          <w:rtl w:val="0"/>
        </w:rPr>
      </w:r>
    </w:p>
    <w:p w:rsidR="00000000" w:rsidDel="00000000" w:rsidP="00000000" w:rsidRDefault="00000000" w:rsidRPr="00000000" w14:paraId="0000002E">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spacing w:after="120" w:before="0" w:line="276" w:lineRule="auto"/>
        <w:ind w:left="567" w:right="0" w:hanging="567"/>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Zrušuje se obecně závazná vyhláška č. </w:t>
      </w:r>
      <w:r w:rsidDel="00000000" w:rsidR="00000000" w:rsidRPr="00000000">
        <w:rPr>
          <w:rFonts w:ascii="Arial" w:cs="Arial" w:eastAsia="Arial" w:hAnsi="Arial"/>
          <w:sz w:val="22"/>
          <w:szCs w:val="22"/>
          <w:rtl w:val="0"/>
        </w:rPr>
        <w:t xml:space="preserve">1</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/202</w:t>
      </w:r>
      <w:r w:rsidDel="00000000" w:rsidR="00000000" w:rsidRPr="00000000">
        <w:rPr>
          <w:rFonts w:ascii="Arial" w:cs="Arial" w:eastAsia="Arial" w:hAnsi="Arial"/>
          <w:sz w:val="22"/>
          <w:szCs w:val="22"/>
          <w:rtl w:val="0"/>
        </w:rPr>
        <w:t xml:space="preserve">1</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 o místním poplatku za obecní systém odpadového hospodářství, ze dne </w:t>
      </w:r>
      <w:r w:rsidDel="00000000" w:rsidR="00000000" w:rsidRPr="00000000">
        <w:rPr>
          <w:rFonts w:ascii="Arial" w:cs="Arial" w:eastAsia="Arial" w:hAnsi="Arial"/>
          <w:b w:val="0"/>
          <w:i w:val="0"/>
          <w:smallCaps w:val="0"/>
          <w:strike w:val="0"/>
          <w:color w:val="000000"/>
          <w:sz w:val="22"/>
          <w:szCs w:val="22"/>
          <w:u w:val="none"/>
          <w:vertAlign w:val="baseline"/>
          <w:rtl w:val="0"/>
        </w:rPr>
        <w:t xml:space="preserve">1</w:t>
      </w:r>
      <w:r w:rsidDel="00000000" w:rsidR="00000000" w:rsidRPr="00000000">
        <w:rPr>
          <w:rFonts w:ascii="Arial" w:cs="Arial" w:eastAsia="Arial" w:hAnsi="Arial"/>
          <w:sz w:val="22"/>
          <w:szCs w:val="22"/>
          <w:rtl w:val="0"/>
        </w:rPr>
        <w:t xml:space="preserve">5</w:t>
      </w:r>
      <w:r w:rsidDel="00000000" w:rsidR="00000000" w:rsidRPr="00000000">
        <w:rPr>
          <w:rFonts w:ascii="Arial" w:cs="Arial" w:eastAsia="Arial" w:hAnsi="Arial"/>
          <w:b w:val="0"/>
          <w:i w:val="0"/>
          <w:smallCaps w:val="0"/>
          <w:strike w:val="0"/>
          <w:color w:val="000000"/>
          <w:sz w:val="22"/>
          <w:szCs w:val="22"/>
          <w:u w:val="none"/>
          <w:vertAlign w:val="baseline"/>
          <w:rtl w:val="0"/>
        </w:rPr>
        <w:t xml:space="preserve">. prosince 202</w:t>
      </w:r>
      <w:r w:rsidDel="00000000" w:rsidR="00000000" w:rsidRPr="00000000">
        <w:rPr>
          <w:rFonts w:ascii="Arial" w:cs="Arial" w:eastAsia="Arial" w:hAnsi="Arial"/>
          <w:sz w:val="22"/>
          <w:szCs w:val="22"/>
          <w:rtl w:val="0"/>
        </w:rPr>
        <w:t xml:space="preserve">1.</w:t>
      </w:r>
      <w:r w:rsidDel="00000000" w:rsidR="00000000" w:rsidRPr="00000000">
        <w:rPr>
          <w:rtl w:val="0"/>
        </w:rPr>
      </w:r>
    </w:p>
    <w:p w:rsidR="00000000" w:rsidDel="00000000" w:rsidP="00000000" w:rsidRDefault="00000000" w:rsidRPr="00000000" w14:paraId="0000002F">
      <w:pPr>
        <w:keepNext w:val="1"/>
        <w:keepLines w:val="0"/>
        <w:pageBreakBefore w:val="0"/>
        <w:widowControl w:val="1"/>
        <w:pBdr>
          <w:top w:space="0" w:sz="0" w:val="nil"/>
          <w:left w:space="0" w:sz="0" w:val="nil"/>
          <w:bottom w:space="0" w:sz="0" w:val="nil"/>
          <w:right w:space="0" w:sz="0" w:val="nil"/>
          <w:between w:space="0" w:sz="0" w:val="nil"/>
        </w:pBdr>
        <w:shd w:fill="auto" w:val="clear"/>
        <w:spacing w:after="120" w:before="360" w:line="276" w:lineRule="auto"/>
        <w:ind w:left="0" w:right="0" w:firstLine="0"/>
        <w:jc w:val="center"/>
        <w:rPr>
          <w:rFonts w:ascii="Arial" w:cs="Arial" w:eastAsia="Arial" w:hAnsi="Arial"/>
          <w:b w:val="1"/>
          <w:i w:val="0"/>
          <w:smallCaps w:val="0"/>
          <w:strike w:val="0"/>
          <w:color w:val="000000"/>
          <w:sz w:val="24"/>
          <w:szCs w:val="24"/>
          <w:u w:val="none"/>
          <w:shd w:fill="auto" w:val="clear"/>
          <w:vertAlign w:val="baseline"/>
        </w:rPr>
      </w:pP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Čl. 8</w:t>
        <w:br w:type="textWrapping"/>
        <w:t xml:space="preserve">Účinnost</w:t>
      </w:r>
    </w:p>
    <w:p w:rsidR="00000000" w:rsidDel="00000000" w:rsidP="00000000" w:rsidRDefault="00000000" w:rsidRPr="00000000" w14:paraId="00000030">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76" w:lineRule="auto"/>
        <w:ind w:left="0" w:right="0" w:firstLine="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Tato vyhláška nabývá účinnosti dnem 1. ledna 2024.</w:t>
      </w:r>
    </w:p>
    <w:p w:rsidR="00000000" w:rsidDel="00000000" w:rsidP="00000000" w:rsidRDefault="00000000" w:rsidRPr="00000000" w14:paraId="00000031">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76" w:lineRule="auto"/>
        <w:ind w:left="0" w:right="0" w:firstLine="0"/>
        <w:jc w:val="both"/>
        <w:rPr>
          <w:rFonts w:ascii="Arial" w:cs="Arial" w:eastAsia="Arial" w:hAnsi="Arial"/>
          <w:sz w:val="22"/>
          <w:szCs w:val="22"/>
        </w:rPr>
      </w:pPr>
      <w:r w:rsidDel="00000000" w:rsidR="00000000" w:rsidRPr="00000000">
        <w:rPr>
          <w:rtl w:val="0"/>
        </w:rPr>
      </w:r>
    </w:p>
    <w:p w:rsidR="00000000" w:rsidDel="00000000" w:rsidP="00000000" w:rsidRDefault="00000000" w:rsidRPr="00000000" w14:paraId="00000032">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76" w:lineRule="auto"/>
        <w:ind w:left="0" w:right="0" w:firstLine="0"/>
        <w:jc w:val="both"/>
        <w:rPr>
          <w:rFonts w:ascii="Arial" w:cs="Arial" w:eastAsia="Arial" w:hAnsi="Arial"/>
          <w:sz w:val="22"/>
          <w:szCs w:val="22"/>
          <w:u w:val="none"/>
        </w:rPr>
      </w:pPr>
      <w:r w:rsidDel="00000000" w:rsidR="00000000" w:rsidRPr="00000000">
        <w:rPr>
          <w:rtl w:val="0"/>
        </w:rPr>
      </w:r>
    </w:p>
    <w:p w:rsidR="00000000" w:rsidDel="00000000" w:rsidP="00000000" w:rsidRDefault="00000000" w:rsidRPr="00000000" w14:paraId="00000033">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76" w:lineRule="auto"/>
        <w:ind w:left="0" w:right="0" w:firstLine="0"/>
        <w:jc w:val="both"/>
        <w:rPr>
          <w:rFonts w:ascii="Arial" w:cs="Arial" w:eastAsia="Arial" w:hAnsi="Arial"/>
          <w:sz w:val="22"/>
          <w:szCs w:val="22"/>
        </w:rPr>
      </w:pPr>
      <w:r w:rsidDel="00000000" w:rsidR="00000000" w:rsidRPr="00000000">
        <w:rPr>
          <w:rtl w:val="0"/>
        </w:rPr>
      </w:r>
    </w:p>
    <w:tbl>
      <w:tblPr>
        <w:tblStyle w:val="Table1"/>
        <w:tblW w:w="9641.0" w:type="dxa"/>
        <w:jc w:val="left"/>
        <w:tblInd w:w="-55.0" w:type="dxa"/>
        <w:tblLayout w:type="fixed"/>
        <w:tblLook w:val="0000"/>
      </w:tblPr>
      <w:tblGrid>
        <w:gridCol w:w="4820"/>
        <w:gridCol w:w="4821"/>
        <w:tblGridChange w:id="0">
          <w:tblGrid>
            <w:gridCol w:w="4820"/>
            <w:gridCol w:w="4821"/>
          </w:tblGrid>
        </w:tblGridChange>
      </w:tblGrid>
      <w:tr>
        <w:trPr>
          <w:cantSplit w:val="0"/>
          <w:trHeight w:val="1134" w:hRule="atLeast"/>
          <w:tblHeader w:val="0"/>
        </w:trPr>
        <w:tc>
          <w:tcPr>
            <w:tcMar>
              <w:top w:w="55.0" w:type="dxa"/>
              <w:left w:w="55.0" w:type="dxa"/>
              <w:bottom w:w="55.0" w:type="dxa"/>
              <w:right w:w="55.0" w:type="dxa"/>
            </w:tcMar>
          </w:tcPr>
          <w:p w:rsidR="00000000" w:rsidDel="00000000" w:rsidP="00000000" w:rsidRDefault="00000000" w:rsidRPr="00000000" w14:paraId="00000034">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sz w:val="22"/>
                <w:szCs w:val="22"/>
                <w:rtl w:val="0"/>
              </w:rPr>
              <w:t xml:space="preserve">Martin Matějka</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br w:type="textWrapping"/>
              <w:t xml:space="preserve"> starosta</w:t>
            </w:r>
          </w:p>
        </w:tc>
        <w:tc>
          <w:tcPr>
            <w:tcMar>
              <w:top w:w="55.0" w:type="dxa"/>
              <w:left w:w="55.0" w:type="dxa"/>
              <w:bottom w:w="55.0" w:type="dxa"/>
              <w:right w:w="55.0" w:type="dxa"/>
            </w:tcMar>
          </w:tcPr>
          <w:p w:rsidR="00000000" w:rsidDel="00000000" w:rsidP="00000000" w:rsidRDefault="00000000" w:rsidRPr="00000000" w14:paraId="00000035">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sz w:val="22"/>
                <w:szCs w:val="22"/>
                <w:rtl w:val="0"/>
              </w:rPr>
              <w:t xml:space="preserve">Eliška Lupačová</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br w:type="textWrapping"/>
              <w:t xml:space="preserve"> místostarostka</w:t>
            </w:r>
          </w:p>
        </w:tc>
      </w:tr>
      <w:tr>
        <w:trPr>
          <w:cantSplit w:val="0"/>
          <w:trHeight w:val="1134" w:hRule="atLeast"/>
          <w:tblHeader w:val="0"/>
        </w:trPr>
        <w:tc>
          <w:tcPr>
            <w:tcMar>
              <w:top w:w="55.0" w:type="dxa"/>
              <w:left w:w="55.0" w:type="dxa"/>
              <w:bottom w:w="55.0" w:type="dxa"/>
              <w:right w:w="55.0" w:type="dxa"/>
            </w:tcMar>
          </w:tcPr>
          <w:p w:rsidR="00000000" w:rsidDel="00000000" w:rsidP="00000000" w:rsidRDefault="00000000" w:rsidRPr="00000000" w14:paraId="00000036">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tc>
        <w:tc>
          <w:tcPr>
            <w:tcMar>
              <w:top w:w="55.0" w:type="dxa"/>
              <w:left w:w="55.0" w:type="dxa"/>
              <w:bottom w:w="55.0" w:type="dxa"/>
              <w:right w:w="55.0" w:type="dxa"/>
            </w:tcMar>
          </w:tcPr>
          <w:p w:rsidR="00000000" w:rsidDel="00000000" w:rsidP="00000000" w:rsidRDefault="00000000" w:rsidRPr="00000000" w14:paraId="00000037">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tc>
      </w:tr>
    </w:tbl>
    <w:p w:rsidR="00000000" w:rsidDel="00000000" w:rsidP="00000000" w:rsidRDefault="00000000" w:rsidRPr="00000000" w14:paraId="0000003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Liberation Serif" w:cs="Liberation Serif" w:eastAsia="Liberation Serif" w:hAnsi="Liberation Serif"/>
          <w:b w:val="0"/>
          <w:i w:val="0"/>
          <w:smallCaps w:val="0"/>
          <w:strike w:val="0"/>
          <w:color w:val="000000"/>
          <w:sz w:val="24"/>
          <w:szCs w:val="24"/>
          <w:u w:val="none"/>
          <w:shd w:fill="auto" w:val="clear"/>
          <w:vertAlign w:val="baseline"/>
        </w:rPr>
      </w:pPr>
      <w:r w:rsidDel="00000000" w:rsidR="00000000" w:rsidRPr="00000000">
        <w:rPr>
          <w:rtl w:val="0"/>
        </w:rPr>
      </w:r>
    </w:p>
    <w:sectPr>
      <w:pgSz w:h="16834" w:w="11909" w:orient="portrait"/>
      <w:pgMar w:bottom="1134" w:top="1134" w:left="1134" w:right="1134" w:header="708" w:footer="708"/>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Georgia"/>
  <w:font w:name="Arial"/>
  <w:font w:name="Liberation Serif"/>
</w:fonts>
</file>

<file path=word/footnotes.xml><?xml version="1.0" encoding="utf-8"?>
<w:footnot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otnote w:id="0">
    <w:p w:rsidR="00000000" w:rsidDel="00000000" w:rsidP="00000000" w:rsidRDefault="00000000" w:rsidRPr="00000000" w14:paraId="00000039">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170" w:right="0" w:hanging="170"/>
        <w:jc w:val="left"/>
        <w:rPr>
          <w:rFonts w:ascii="Arial" w:cs="Arial" w:eastAsia="Arial" w:hAnsi="Arial"/>
          <w:b w:val="0"/>
          <w:i w:val="0"/>
          <w:smallCaps w:val="0"/>
          <w:strike w:val="0"/>
          <w:color w:val="000000"/>
          <w:sz w:val="18"/>
          <w:szCs w:val="18"/>
          <w:u w:val="none"/>
          <w:shd w:fill="auto" w:val="clear"/>
          <w:vertAlign w:val="baseline"/>
        </w:rPr>
      </w:pPr>
      <w:r w:rsidDel="00000000" w:rsidR="00000000" w:rsidRPr="00000000">
        <w:rPr>
          <w:rStyle w:val="FootnoteReference"/>
          <w:vertAlign w:val="superscript"/>
        </w:rPr>
        <w:footnoteRef/>
      </w:r>
      <w:r w:rsidDel="00000000" w:rsidR="00000000" w:rsidRPr="00000000">
        <w:rPr>
          <w:rFonts w:ascii="Arial" w:cs="Arial" w:eastAsia="Arial" w:hAnsi="Arial"/>
          <w:b w:val="0"/>
          <w:i w:val="0"/>
          <w:smallCaps w:val="0"/>
          <w:strike w:val="0"/>
          <w:color w:val="000000"/>
          <w:sz w:val="18"/>
          <w:szCs w:val="18"/>
          <w:u w:val="none"/>
          <w:shd w:fill="auto" w:val="clear"/>
          <w:vertAlign w:val="baseline"/>
          <w:rtl w:val="0"/>
        </w:rPr>
        <w:t xml:space="preserve">§ 10o odst. 1 zákona o místních poplatcích</w:t>
      </w:r>
    </w:p>
  </w:footnote>
  <w:footnote w:id="1">
    <w:p w:rsidR="00000000" w:rsidDel="00000000" w:rsidP="00000000" w:rsidRDefault="00000000" w:rsidRPr="00000000" w14:paraId="0000003A">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170" w:right="0" w:hanging="170"/>
        <w:jc w:val="left"/>
        <w:rPr>
          <w:rFonts w:ascii="Arial" w:cs="Arial" w:eastAsia="Arial" w:hAnsi="Arial"/>
          <w:b w:val="0"/>
          <w:i w:val="0"/>
          <w:smallCaps w:val="0"/>
          <w:strike w:val="0"/>
          <w:color w:val="000000"/>
          <w:sz w:val="18"/>
          <w:szCs w:val="18"/>
          <w:u w:val="none"/>
          <w:shd w:fill="auto" w:val="clear"/>
          <w:vertAlign w:val="baseline"/>
        </w:rPr>
      </w:pPr>
      <w:r w:rsidDel="00000000" w:rsidR="00000000" w:rsidRPr="00000000">
        <w:rPr>
          <w:rStyle w:val="FootnoteReference"/>
          <w:vertAlign w:val="superscript"/>
        </w:rPr>
        <w:footnoteRef/>
      </w:r>
      <w:r w:rsidDel="00000000" w:rsidR="00000000" w:rsidRPr="00000000">
        <w:rPr>
          <w:rFonts w:ascii="Arial" w:cs="Arial" w:eastAsia="Arial" w:hAnsi="Arial"/>
          <w:b w:val="0"/>
          <w:i w:val="0"/>
          <w:smallCaps w:val="0"/>
          <w:strike w:val="0"/>
          <w:color w:val="000000"/>
          <w:sz w:val="18"/>
          <w:szCs w:val="18"/>
          <w:u w:val="none"/>
          <w:shd w:fill="auto" w:val="clear"/>
          <w:vertAlign w:val="baseline"/>
          <w:rtl w:val="0"/>
        </w:rPr>
        <w:t xml:space="preserve">§ 15 odst. 1 zákona o místních poplatcích</w:t>
      </w:r>
    </w:p>
  </w:footnote>
  <w:footnote w:id="2">
    <w:p w:rsidR="00000000" w:rsidDel="00000000" w:rsidP="00000000" w:rsidRDefault="00000000" w:rsidRPr="00000000" w14:paraId="0000003B">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170" w:right="0" w:hanging="170"/>
        <w:jc w:val="left"/>
        <w:rPr>
          <w:rFonts w:ascii="Arial" w:cs="Arial" w:eastAsia="Arial" w:hAnsi="Arial"/>
          <w:b w:val="0"/>
          <w:i w:val="0"/>
          <w:smallCaps w:val="0"/>
          <w:strike w:val="0"/>
          <w:color w:val="000000"/>
          <w:sz w:val="18"/>
          <w:szCs w:val="18"/>
          <w:u w:val="none"/>
          <w:shd w:fill="auto" w:val="clear"/>
          <w:vertAlign w:val="baseline"/>
        </w:rPr>
      </w:pPr>
      <w:r w:rsidDel="00000000" w:rsidR="00000000" w:rsidRPr="00000000">
        <w:rPr>
          <w:rStyle w:val="FootnoteReference"/>
          <w:vertAlign w:val="superscript"/>
        </w:rPr>
        <w:footnoteRef/>
      </w:r>
      <w:r w:rsidDel="00000000" w:rsidR="00000000" w:rsidRPr="00000000">
        <w:rPr>
          <w:rFonts w:ascii="Arial" w:cs="Arial" w:eastAsia="Arial" w:hAnsi="Arial"/>
          <w:b w:val="0"/>
          <w:i w:val="0"/>
          <w:smallCaps w:val="0"/>
          <w:strike w:val="0"/>
          <w:color w:val="000000"/>
          <w:sz w:val="18"/>
          <w:szCs w:val="18"/>
          <w:u w:val="none"/>
          <w:shd w:fill="auto" w:val="clear"/>
          <w:vertAlign w:val="baseline"/>
          <w:rtl w:val="0"/>
        </w:rPr>
        <w:t xml:space="preserve">§ 10e zákona o místních poplatcích</w:t>
      </w:r>
    </w:p>
  </w:footnote>
  <w:footnote w:id="3">
    <w:p w:rsidR="00000000" w:rsidDel="00000000" w:rsidP="00000000" w:rsidRDefault="00000000" w:rsidRPr="00000000" w14:paraId="0000003C">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170" w:right="0" w:hanging="170"/>
        <w:jc w:val="left"/>
        <w:rPr>
          <w:rFonts w:ascii="Arial" w:cs="Arial" w:eastAsia="Arial" w:hAnsi="Arial"/>
          <w:b w:val="0"/>
          <w:i w:val="0"/>
          <w:smallCaps w:val="0"/>
          <w:strike w:val="0"/>
          <w:color w:val="000000"/>
          <w:sz w:val="18"/>
          <w:szCs w:val="18"/>
          <w:u w:val="none"/>
          <w:shd w:fill="auto" w:val="clear"/>
          <w:vertAlign w:val="baseline"/>
        </w:rPr>
      </w:pPr>
      <w:r w:rsidDel="00000000" w:rsidR="00000000" w:rsidRPr="00000000">
        <w:rPr>
          <w:rStyle w:val="FootnoteReference"/>
          <w:vertAlign w:val="superscript"/>
        </w:rPr>
        <w:footnoteRef/>
      </w:r>
      <w:r w:rsidDel="00000000" w:rsidR="00000000" w:rsidRPr="00000000">
        <w:rPr>
          <w:rFonts w:ascii="Arial" w:cs="Arial" w:eastAsia="Arial" w:hAnsi="Arial"/>
          <w:b w:val="0"/>
          <w:i w:val="0"/>
          <w:smallCaps w:val="0"/>
          <w:strike w:val="0"/>
          <w:color w:val="000000"/>
          <w:sz w:val="18"/>
          <w:szCs w:val="18"/>
          <w:u w:val="none"/>
          <w:shd w:fill="auto" w:val="clear"/>
          <w:vertAlign w:val="baseline"/>
          <w:rtl w:val="0"/>
        </w:rPr>
        <w:t xml:space="preserve">Za přihlášení fyzické osoby se podle § 16c zákona o místních poplatcích považuje (a) přihlášení k trvalému pobytu podle zákona o evidenci obyvatel, nebo (b) ohlášení místa pobytu podle zákona o pobytu cizinců na území České republiky, zákona o azylu nebo zákona o dočasné ochraně cizinců, jde-li o cizince, (1.) kterému byl povolen trvalý pobyt, (2.) který na území České republiky pobývá přechodně po dobu delší než 3 měsíce, (3.) který je žadatelem o udělení mezinárodní ochrany nebo osobou strpěnou na území podle zákona o azylu anebo žadatelem o poskytnutí dočasné ochrany podle zákona o dočasné ochraně cizinců, nebo (4.) kterému byla udělena mezinárodní ochrana nebo jde o cizince požívajícího dočasné ochrany cizinců.</w:t>
      </w:r>
    </w:p>
  </w:footnote>
  <w:footnote w:id="4">
    <w:p w:rsidR="00000000" w:rsidDel="00000000" w:rsidP="00000000" w:rsidRDefault="00000000" w:rsidRPr="00000000" w14:paraId="0000003D">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170" w:right="0" w:hanging="170"/>
        <w:jc w:val="left"/>
        <w:rPr>
          <w:rFonts w:ascii="Arial" w:cs="Arial" w:eastAsia="Arial" w:hAnsi="Arial"/>
          <w:b w:val="0"/>
          <w:i w:val="0"/>
          <w:smallCaps w:val="0"/>
          <w:strike w:val="0"/>
          <w:color w:val="000000"/>
          <w:sz w:val="18"/>
          <w:szCs w:val="18"/>
          <w:u w:val="none"/>
          <w:shd w:fill="auto" w:val="clear"/>
          <w:vertAlign w:val="baseline"/>
        </w:rPr>
      </w:pPr>
      <w:r w:rsidDel="00000000" w:rsidR="00000000" w:rsidRPr="00000000">
        <w:rPr>
          <w:rStyle w:val="FootnoteReference"/>
          <w:vertAlign w:val="superscript"/>
        </w:rPr>
        <w:footnoteRef/>
      </w:r>
      <w:r w:rsidDel="00000000" w:rsidR="00000000" w:rsidRPr="00000000">
        <w:rPr>
          <w:rFonts w:ascii="Arial" w:cs="Arial" w:eastAsia="Arial" w:hAnsi="Arial"/>
          <w:b w:val="0"/>
          <w:i w:val="0"/>
          <w:smallCaps w:val="0"/>
          <w:strike w:val="0"/>
          <w:color w:val="000000"/>
          <w:sz w:val="18"/>
          <w:szCs w:val="18"/>
          <w:u w:val="none"/>
          <w:shd w:fill="auto" w:val="clear"/>
          <w:vertAlign w:val="baseline"/>
          <w:rtl w:val="0"/>
        </w:rPr>
        <w:t xml:space="preserve">§ 10p zákona o místních poplatcích</w:t>
      </w:r>
    </w:p>
  </w:footnote>
  <w:footnote w:id="5">
    <w:p w:rsidR="00000000" w:rsidDel="00000000" w:rsidP="00000000" w:rsidRDefault="00000000" w:rsidRPr="00000000" w14:paraId="0000003E">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170" w:right="0" w:hanging="170"/>
        <w:jc w:val="left"/>
        <w:rPr>
          <w:rFonts w:ascii="Arial" w:cs="Arial" w:eastAsia="Arial" w:hAnsi="Arial"/>
          <w:b w:val="0"/>
          <w:i w:val="0"/>
          <w:smallCaps w:val="0"/>
          <w:strike w:val="0"/>
          <w:color w:val="000000"/>
          <w:sz w:val="18"/>
          <w:szCs w:val="18"/>
          <w:u w:val="none"/>
          <w:shd w:fill="auto" w:val="clear"/>
          <w:vertAlign w:val="baseline"/>
        </w:rPr>
      </w:pPr>
      <w:r w:rsidDel="00000000" w:rsidR="00000000" w:rsidRPr="00000000">
        <w:rPr>
          <w:rStyle w:val="FootnoteReference"/>
          <w:vertAlign w:val="superscript"/>
        </w:rPr>
        <w:footnoteRef/>
      </w:r>
      <w:r w:rsidDel="00000000" w:rsidR="00000000" w:rsidRPr="00000000">
        <w:rPr>
          <w:rFonts w:ascii="Arial" w:cs="Arial" w:eastAsia="Arial" w:hAnsi="Arial"/>
          <w:b w:val="0"/>
          <w:i w:val="0"/>
          <w:smallCaps w:val="0"/>
          <w:strike w:val="0"/>
          <w:color w:val="000000"/>
          <w:sz w:val="18"/>
          <w:szCs w:val="18"/>
          <w:u w:val="none"/>
          <w:shd w:fill="auto" w:val="clear"/>
          <w:vertAlign w:val="baseline"/>
          <w:rtl w:val="0"/>
        </w:rPr>
        <w:t xml:space="preserve">§ 14a odst. 1 a 2 zákona o místních poplatcích; v ohlášení poplatník uvede zejména své identifikační údaje a skutečnosti rozhodné pro stanovení poplatku</w:t>
      </w:r>
    </w:p>
  </w:footnote>
  <w:footnote w:id="6">
    <w:p w:rsidR="00000000" w:rsidDel="00000000" w:rsidP="00000000" w:rsidRDefault="00000000" w:rsidRPr="00000000" w14:paraId="0000003F">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170" w:right="0" w:hanging="170"/>
        <w:jc w:val="left"/>
        <w:rPr>
          <w:rFonts w:ascii="Arial" w:cs="Arial" w:eastAsia="Arial" w:hAnsi="Arial"/>
          <w:b w:val="0"/>
          <w:i w:val="0"/>
          <w:smallCaps w:val="0"/>
          <w:strike w:val="0"/>
          <w:color w:val="000000"/>
          <w:sz w:val="18"/>
          <w:szCs w:val="18"/>
          <w:u w:val="none"/>
          <w:shd w:fill="auto" w:val="clear"/>
          <w:vertAlign w:val="baseline"/>
        </w:rPr>
      </w:pPr>
      <w:r w:rsidDel="00000000" w:rsidR="00000000" w:rsidRPr="00000000">
        <w:rPr>
          <w:rStyle w:val="FootnoteReference"/>
          <w:vertAlign w:val="superscript"/>
        </w:rPr>
        <w:footnoteRef/>
      </w:r>
      <w:r w:rsidDel="00000000" w:rsidR="00000000" w:rsidRPr="00000000">
        <w:rPr>
          <w:rFonts w:ascii="Arial" w:cs="Arial" w:eastAsia="Arial" w:hAnsi="Arial"/>
          <w:b w:val="0"/>
          <w:i w:val="0"/>
          <w:smallCaps w:val="0"/>
          <w:strike w:val="0"/>
          <w:color w:val="000000"/>
          <w:sz w:val="18"/>
          <w:szCs w:val="18"/>
          <w:u w:val="none"/>
          <w:shd w:fill="auto" w:val="clear"/>
          <w:vertAlign w:val="baseline"/>
          <w:rtl w:val="0"/>
        </w:rPr>
        <w:t xml:space="preserve">§ 14a odst. 4 zákona o místních poplatcích</w:t>
      </w:r>
    </w:p>
  </w:footnote>
  <w:footnote w:id="7">
    <w:p w:rsidR="00000000" w:rsidDel="00000000" w:rsidP="00000000" w:rsidRDefault="00000000" w:rsidRPr="00000000" w14:paraId="00000040">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170" w:right="0" w:hanging="170"/>
        <w:jc w:val="left"/>
        <w:rPr>
          <w:rFonts w:ascii="Arial" w:cs="Arial" w:eastAsia="Arial" w:hAnsi="Arial"/>
          <w:b w:val="0"/>
          <w:i w:val="0"/>
          <w:smallCaps w:val="0"/>
          <w:strike w:val="0"/>
          <w:color w:val="000000"/>
          <w:sz w:val="18"/>
          <w:szCs w:val="18"/>
          <w:u w:val="none"/>
          <w:shd w:fill="auto" w:val="clear"/>
          <w:vertAlign w:val="baseline"/>
        </w:rPr>
      </w:pPr>
      <w:r w:rsidDel="00000000" w:rsidR="00000000" w:rsidRPr="00000000">
        <w:rPr>
          <w:rStyle w:val="FootnoteReference"/>
          <w:vertAlign w:val="superscript"/>
        </w:rPr>
        <w:footnoteRef/>
      </w:r>
      <w:r w:rsidDel="00000000" w:rsidR="00000000" w:rsidRPr="00000000">
        <w:rPr>
          <w:rFonts w:ascii="Arial" w:cs="Arial" w:eastAsia="Arial" w:hAnsi="Arial"/>
          <w:b w:val="0"/>
          <w:i w:val="0"/>
          <w:smallCaps w:val="0"/>
          <w:strike w:val="0"/>
          <w:color w:val="000000"/>
          <w:sz w:val="18"/>
          <w:szCs w:val="18"/>
          <w:u w:val="none"/>
          <w:shd w:fill="auto" w:val="clear"/>
          <w:vertAlign w:val="baseline"/>
          <w:rtl w:val="0"/>
        </w:rPr>
        <w:t xml:space="preserve">§ 10g zákona o místních poplatcích</w:t>
      </w:r>
    </w:p>
  </w:footnote>
  <w:footnote w:id="8">
    <w:p w:rsidR="00000000" w:rsidDel="00000000" w:rsidP="00000000" w:rsidRDefault="00000000" w:rsidRPr="00000000" w14:paraId="00000041">
      <w:pPr>
        <w:keepNext w:val="0"/>
        <w:keepLines w:val="0"/>
        <w:widowControl w:val="1"/>
        <w:pBdr>
          <w:top w:color="000000" w:space="0" w:sz="0" w:val="none"/>
          <w:left w:color="000000" w:space="0" w:sz="0" w:val="none"/>
          <w:bottom w:color="000000" w:space="0" w:sz="0" w:val="none"/>
          <w:right w:color="000000" w:space="0" w:sz="0" w:val="none"/>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18"/>
          <w:szCs w:val="18"/>
          <w:u w:val="none"/>
          <w:shd w:fill="auto" w:val="clear"/>
          <w:vertAlign w:val="baseline"/>
        </w:rPr>
      </w:pPr>
      <w:r w:rsidDel="00000000" w:rsidR="00000000" w:rsidRPr="00000000">
        <w:rPr>
          <w:rStyle w:val="FootnoteReference"/>
          <w:vertAlign w:val="superscript"/>
        </w:rPr>
        <w:footnoteRef/>
      </w:r>
      <w:r w:rsidDel="00000000" w:rsidR="00000000" w:rsidRPr="00000000">
        <w:rPr>
          <w:rtl w:val="0"/>
        </w:rPr>
      </w:r>
    </w:p>
  </w:footnote>
</w:footnote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decimal"/>
      <w:lvlText w:val="(%1)"/>
      <w:lvlJc w:val="left"/>
      <w:pPr>
        <w:ind w:left="567" w:hanging="567"/>
      </w:pPr>
      <w:rPr>
        <w:vertAlign w:val="baseline"/>
      </w:rPr>
    </w:lvl>
    <w:lvl w:ilvl="1">
      <w:start w:val="1"/>
      <w:numFmt w:val="lowerLetter"/>
      <w:lvlText w:val="%2)"/>
      <w:lvlJc w:val="left"/>
      <w:pPr>
        <w:ind w:left="964" w:hanging="397"/>
      </w:pPr>
      <w:rPr>
        <w:vertAlign w:val="baseline"/>
      </w:rPr>
    </w:lvl>
    <w:lvl w:ilvl="2">
      <w:start w:val="1"/>
      <w:numFmt w:val="decimal"/>
      <w:lvlText w:val="(%3)"/>
      <w:lvlJc w:val="left"/>
      <w:pPr>
        <w:ind w:left="1440" w:hanging="360"/>
      </w:pPr>
      <w:rPr>
        <w:vertAlign w:val="baseline"/>
      </w:rPr>
    </w:lvl>
    <w:lvl w:ilvl="3">
      <w:start w:val="1"/>
      <w:numFmt w:val="decimal"/>
      <w:lvlText w:val="(%4)"/>
      <w:lvlJc w:val="left"/>
      <w:pPr>
        <w:ind w:left="1800" w:hanging="360"/>
      </w:pPr>
      <w:rPr>
        <w:vertAlign w:val="baseline"/>
      </w:rPr>
    </w:lvl>
    <w:lvl w:ilvl="4">
      <w:start w:val="1"/>
      <w:numFmt w:val="decimal"/>
      <w:lvlText w:val="(%5)"/>
      <w:lvlJc w:val="left"/>
      <w:pPr>
        <w:ind w:left="2160" w:hanging="360"/>
      </w:pPr>
      <w:rPr>
        <w:vertAlign w:val="baseline"/>
      </w:rPr>
    </w:lvl>
    <w:lvl w:ilvl="5">
      <w:start w:val="1"/>
      <w:numFmt w:val="decimal"/>
      <w:lvlText w:val="(%6)"/>
      <w:lvlJc w:val="left"/>
      <w:pPr>
        <w:ind w:left="2520" w:hanging="360"/>
      </w:pPr>
      <w:rPr>
        <w:vertAlign w:val="baseline"/>
      </w:rPr>
    </w:lvl>
    <w:lvl w:ilvl="6">
      <w:start w:val="1"/>
      <w:numFmt w:val="decimal"/>
      <w:lvlText w:val="(%7)"/>
      <w:lvlJc w:val="left"/>
      <w:pPr>
        <w:ind w:left="2880" w:hanging="360"/>
      </w:pPr>
      <w:rPr>
        <w:vertAlign w:val="baseline"/>
      </w:rPr>
    </w:lvl>
    <w:lvl w:ilvl="7">
      <w:start w:val="1"/>
      <w:numFmt w:val="decimal"/>
      <w:lvlText w:val="(%8)"/>
      <w:lvlJc w:val="left"/>
      <w:pPr>
        <w:ind w:left="3240" w:hanging="360"/>
      </w:pPr>
      <w:rPr>
        <w:vertAlign w:val="baseline"/>
      </w:rPr>
    </w:lvl>
    <w:lvl w:ilvl="8">
      <w:start w:val="1"/>
      <w:numFmt w:val="decimal"/>
      <w:lvlText w:val="(%9)"/>
      <w:lvlJc w:val="left"/>
      <w:pPr>
        <w:ind w:left="3600" w:hanging="360"/>
      </w:pPr>
      <w:rPr>
        <w:vertAlign w:val="baseline"/>
      </w:rPr>
    </w:lvl>
  </w:abstractNum>
  <w:abstractNum w:abstractNumId="2">
    <w:lvl w:ilvl="0">
      <w:start w:val="1"/>
      <w:numFmt w:val="decimal"/>
      <w:lvlText w:val="(%1)"/>
      <w:lvlJc w:val="left"/>
      <w:pPr>
        <w:ind w:left="567" w:hanging="567"/>
      </w:pPr>
      <w:rPr>
        <w:vertAlign w:val="baseline"/>
      </w:rPr>
    </w:lvl>
    <w:lvl w:ilvl="1">
      <w:start w:val="1"/>
      <w:numFmt w:val="lowerLetter"/>
      <w:lvlText w:val="%2)"/>
      <w:lvlJc w:val="left"/>
      <w:pPr>
        <w:ind w:left="964" w:hanging="397"/>
      </w:pPr>
      <w:rPr>
        <w:vertAlign w:val="baseline"/>
      </w:rPr>
    </w:lvl>
    <w:lvl w:ilvl="2">
      <w:start w:val="1"/>
      <w:numFmt w:val="decimal"/>
      <w:lvlText w:val="(%3)"/>
      <w:lvlJc w:val="left"/>
      <w:pPr>
        <w:ind w:left="1440" w:hanging="360"/>
      </w:pPr>
      <w:rPr>
        <w:vertAlign w:val="baseline"/>
      </w:rPr>
    </w:lvl>
    <w:lvl w:ilvl="3">
      <w:start w:val="1"/>
      <w:numFmt w:val="decimal"/>
      <w:lvlText w:val="(%4)"/>
      <w:lvlJc w:val="left"/>
      <w:pPr>
        <w:ind w:left="1800" w:hanging="360"/>
      </w:pPr>
      <w:rPr>
        <w:vertAlign w:val="baseline"/>
      </w:rPr>
    </w:lvl>
    <w:lvl w:ilvl="4">
      <w:start w:val="1"/>
      <w:numFmt w:val="decimal"/>
      <w:lvlText w:val="(%5)"/>
      <w:lvlJc w:val="left"/>
      <w:pPr>
        <w:ind w:left="2160" w:hanging="360"/>
      </w:pPr>
      <w:rPr>
        <w:vertAlign w:val="baseline"/>
      </w:rPr>
    </w:lvl>
    <w:lvl w:ilvl="5">
      <w:start w:val="1"/>
      <w:numFmt w:val="decimal"/>
      <w:lvlText w:val="(%6)"/>
      <w:lvlJc w:val="left"/>
      <w:pPr>
        <w:ind w:left="2520" w:hanging="360"/>
      </w:pPr>
      <w:rPr>
        <w:vertAlign w:val="baseline"/>
      </w:rPr>
    </w:lvl>
    <w:lvl w:ilvl="6">
      <w:start w:val="1"/>
      <w:numFmt w:val="decimal"/>
      <w:lvlText w:val="(%7)"/>
      <w:lvlJc w:val="left"/>
      <w:pPr>
        <w:ind w:left="2880" w:hanging="360"/>
      </w:pPr>
      <w:rPr>
        <w:vertAlign w:val="baseline"/>
      </w:rPr>
    </w:lvl>
    <w:lvl w:ilvl="7">
      <w:start w:val="1"/>
      <w:numFmt w:val="decimal"/>
      <w:lvlText w:val="(%8)"/>
      <w:lvlJc w:val="left"/>
      <w:pPr>
        <w:ind w:left="3240" w:hanging="360"/>
      </w:pPr>
      <w:rPr>
        <w:vertAlign w:val="baseline"/>
      </w:rPr>
    </w:lvl>
    <w:lvl w:ilvl="8">
      <w:start w:val="1"/>
      <w:numFmt w:val="decimal"/>
      <w:lvlText w:val="(%9)"/>
      <w:lvlJc w:val="left"/>
      <w:pPr>
        <w:ind w:left="3600" w:hanging="360"/>
      </w:pPr>
      <w:rPr>
        <w:vertAlign w:val="baseline"/>
      </w:rPr>
    </w:lvl>
  </w:abstractNum>
  <w:abstractNum w:abstractNumId="3">
    <w:lvl w:ilvl="0">
      <w:start w:val="1"/>
      <w:numFmt w:val="decimal"/>
      <w:lvlText w:val="(%1)"/>
      <w:lvlJc w:val="left"/>
      <w:pPr>
        <w:ind w:left="567" w:hanging="567"/>
      </w:pPr>
      <w:rPr>
        <w:vertAlign w:val="baseline"/>
      </w:rPr>
    </w:lvl>
    <w:lvl w:ilvl="1">
      <w:start w:val="1"/>
      <w:numFmt w:val="lowerLetter"/>
      <w:lvlText w:val="%2)"/>
      <w:lvlJc w:val="left"/>
      <w:pPr>
        <w:ind w:left="964" w:hanging="397"/>
      </w:pPr>
      <w:rPr>
        <w:vertAlign w:val="baseline"/>
      </w:rPr>
    </w:lvl>
    <w:lvl w:ilvl="2">
      <w:start w:val="1"/>
      <w:numFmt w:val="decimal"/>
      <w:lvlText w:val="(%3)"/>
      <w:lvlJc w:val="left"/>
      <w:pPr>
        <w:ind w:left="1440" w:hanging="360"/>
      </w:pPr>
      <w:rPr>
        <w:vertAlign w:val="baseline"/>
      </w:rPr>
    </w:lvl>
    <w:lvl w:ilvl="3">
      <w:start w:val="1"/>
      <w:numFmt w:val="decimal"/>
      <w:lvlText w:val="(%4)"/>
      <w:lvlJc w:val="left"/>
      <w:pPr>
        <w:ind w:left="1800" w:hanging="360"/>
      </w:pPr>
      <w:rPr>
        <w:vertAlign w:val="baseline"/>
      </w:rPr>
    </w:lvl>
    <w:lvl w:ilvl="4">
      <w:start w:val="1"/>
      <w:numFmt w:val="decimal"/>
      <w:lvlText w:val="(%5)"/>
      <w:lvlJc w:val="left"/>
      <w:pPr>
        <w:ind w:left="2160" w:hanging="360"/>
      </w:pPr>
      <w:rPr>
        <w:vertAlign w:val="baseline"/>
      </w:rPr>
    </w:lvl>
    <w:lvl w:ilvl="5">
      <w:start w:val="1"/>
      <w:numFmt w:val="decimal"/>
      <w:lvlText w:val="(%6)"/>
      <w:lvlJc w:val="left"/>
      <w:pPr>
        <w:ind w:left="2520" w:hanging="360"/>
      </w:pPr>
      <w:rPr>
        <w:vertAlign w:val="baseline"/>
      </w:rPr>
    </w:lvl>
    <w:lvl w:ilvl="6">
      <w:start w:val="1"/>
      <w:numFmt w:val="decimal"/>
      <w:lvlText w:val="(%7)"/>
      <w:lvlJc w:val="left"/>
      <w:pPr>
        <w:ind w:left="2880" w:hanging="360"/>
      </w:pPr>
      <w:rPr>
        <w:vertAlign w:val="baseline"/>
      </w:rPr>
    </w:lvl>
    <w:lvl w:ilvl="7">
      <w:start w:val="1"/>
      <w:numFmt w:val="decimal"/>
      <w:lvlText w:val="(%8)"/>
      <w:lvlJc w:val="left"/>
      <w:pPr>
        <w:ind w:left="3240" w:hanging="360"/>
      </w:pPr>
      <w:rPr>
        <w:vertAlign w:val="baseline"/>
      </w:rPr>
    </w:lvl>
    <w:lvl w:ilvl="8">
      <w:start w:val="1"/>
      <w:numFmt w:val="decimal"/>
      <w:lvlText w:val="(%9)"/>
      <w:lvlJc w:val="left"/>
      <w:pPr>
        <w:ind w:left="3600" w:hanging="360"/>
      </w:pPr>
      <w:rPr>
        <w:vertAlign w:val="baseline"/>
      </w:rPr>
    </w:lvl>
  </w:abstractNum>
  <w:abstractNum w:abstractNumId="4">
    <w:lvl w:ilvl="0">
      <w:start w:val="1"/>
      <w:numFmt w:val="decimal"/>
      <w:lvlText w:val="(%1)"/>
      <w:lvlJc w:val="left"/>
      <w:pPr>
        <w:ind w:left="567" w:hanging="567"/>
      </w:pPr>
      <w:rPr>
        <w:vertAlign w:val="baseline"/>
      </w:rPr>
    </w:lvl>
    <w:lvl w:ilvl="1">
      <w:start w:val="1"/>
      <w:numFmt w:val="lowerLetter"/>
      <w:lvlText w:val="%2)"/>
      <w:lvlJc w:val="left"/>
      <w:pPr>
        <w:ind w:left="964" w:hanging="397"/>
      </w:pPr>
      <w:rPr>
        <w:vertAlign w:val="baseline"/>
      </w:rPr>
    </w:lvl>
    <w:lvl w:ilvl="2">
      <w:start w:val="1"/>
      <w:numFmt w:val="decimal"/>
      <w:lvlText w:val="(%3)"/>
      <w:lvlJc w:val="left"/>
      <w:pPr>
        <w:ind w:left="1440" w:hanging="360"/>
      </w:pPr>
      <w:rPr>
        <w:vertAlign w:val="baseline"/>
      </w:rPr>
    </w:lvl>
    <w:lvl w:ilvl="3">
      <w:start w:val="1"/>
      <w:numFmt w:val="decimal"/>
      <w:lvlText w:val="(%4)"/>
      <w:lvlJc w:val="left"/>
      <w:pPr>
        <w:ind w:left="1800" w:hanging="360"/>
      </w:pPr>
      <w:rPr>
        <w:vertAlign w:val="baseline"/>
      </w:rPr>
    </w:lvl>
    <w:lvl w:ilvl="4">
      <w:start w:val="1"/>
      <w:numFmt w:val="decimal"/>
      <w:lvlText w:val="(%5)"/>
      <w:lvlJc w:val="left"/>
      <w:pPr>
        <w:ind w:left="2160" w:hanging="360"/>
      </w:pPr>
      <w:rPr>
        <w:vertAlign w:val="baseline"/>
      </w:rPr>
    </w:lvl>
    <w:lvl w:ilvl="5">
      <w:start w:val="1"/>
      <w:numFmt w:val="decimal"/>
      <w:lvlText w:val="(%6)"/>
      <w:lvlJc w:val="left"/>
      <w:pPr>
        <w:ind w:left="2520" w:hanging="360"/>
      </w:pPr>
      <w:rPr>
        <w:vertAlign w:val="baseline"/>
      </w:rPr>
    </w:lvl>
    <w:lvl w:ilvl="6">
      <w:start w:val="1"/>
      <w:numFmt w:val="decimal"/>
      <w:lvlText w:val="(%7)"/>
      <w:lvlJc w:val="left"/>
      <w:pPr>
        <w:ind w:left="2880" w:hanging="360"/>
      </w:pPr>
      <w:rPr>
        <w:vertAlign w:val="baseline"/>
      </w:rPr>
    </w:lvl>
    <w:lvl w:ilvl="7">
      <w:start w:val="1"/>
      <w:numFmt w:val="decimal"/>
      <w:lvlText w:val="(%8)"/>
      <w:lvlJc w:val="left"/>
      <w:pPr>
        <w:ind w:left="3240" w:hanging="360"/>
      </w:pPr>
      <w:rPr>
        <w:vertAlign w:val="baseline"/>
      </w:rPr>
    </w:lvl>
    <w:lvl w:ilvl="8">
      <w:start w:val="1"/>
      <w:numFmt w:val="decimal"/>
      <w:lvlText w:val="(%9)"/>
      <w:lvlJc w:val="left"/>
      <w:pPr>
        <w:ind w:left="3600" w:hanging="360"/>
      </w:pPr>
      <w:rPr>
        <w:vertAlign w:val="baseline"/>
      </w:rPr>
    </w:lvl>
  </w:abstractNum>
  <w:abstractNum w:abstractNumId="5">
    <w:lvl w:ilvl="0">
      <w:start w:val="1"/>
      <w:numFmt w:val="decimal"/>
      <w:lvlText w:val="(%1)"/>
      <w:lvlJc w:val="left"/>
      <w:pPr>
        <w:ind w:left="567" w:hanging="567"/>
      </w:pPr>
      <w:rPr>
        <w:vertAlign w:val="baseline"/>
      </w:rPr>
    </w:lvl>
    <w:lvl w:ilvl="1">
      <w:start w:val="1"/>
      <w:numFmt w:val="lowerLetter"/>
      <w:lvlText w:val="%2)"/>
      <w:lvlJc w:val="left"/>
      <w:pPr>
        <w:ind w:left="964" w:hanging="397"/>
      </w:pPr>
      <w:rPr>
        <w:vertAlign w:val="baseline"/>
      </w:rPr>
    </w:lvl>
    <w:lvl w:ilvl="2">
      <w:start w:val="1"/>
      <w:numFmt w:val="decimal"/>
      <w:lvlText w:val="(%3)"/>
      <w:lvlJc w:val="left"/>
      <w:pPr>
        <w:ind w:left="1440" w:hanging="360"/>
      </w:pPr>
      <w:rPr>
        <w:vertAlign w:val="baseline"/>
      </w:rPr>
    </w:lvl>
    <w:lvl w:ilvl="3">
      <w:start w:val="1"/>
      <w:numFmt w:val="decimal"/>
      <w:lvlText w:val="(%4)"/>
      <w:lvlJc w:val="left"/>
      <w:pPr>
        <w:ind w:left="1800" w:hanging="360"/>
      </w:pPr>
      <w:rPr>
        <w:vertAlign w:val="baseline"/>
      </w:rPr>
    </w:lvl>
    <w:lvl w:ilvl="4">
      <w:start w:val="1"/>
      <w:numFmt w:val="decimal"/>
      <w:lvlText w:val="(%5)"/>
      <w:lvlJc w:val="left"/>
      <w:pPr>
        <w:ind w:left="2160" w:hanging="360"/>
      </w:pPr>
      <w:rPr>
        <w:vertAlign w:val="baseline"/>
      </w:rPr>
    </w:lvl>
    <w:lvl w:ilvl="5">
      <w:start w:val="1"/>
      <w:numFmt w:val="decimal"/>
      <w:lvlText w:val="(%6)"/>
      <w:lvlJc w:val="left"/>
      <w:pPr>
        <w:ind w:left="2520" w:hanging="360"/>
      </w:pPr>
      <w:rPr>
        <w:vertAlign w:val="baseline"/>
      </w:rPr>
    </w:lvl>
    <w:lvl w:ilvl="6">
      <w:start w:val="1"/>
      <w:numFmt w:val="decimal"/>
      <w:lvlText w:val="(%7)"/>
      <w:lvlJc w:val="left"/>
      <w:pPr>
        <w:ind w:left="2880" w:hanging="360"/>
      </w:pPr>
      <w:rPr>
        <w:vertAlign w:val="baseline"/>
      </w:rPr>
    </w:lvl>
    <w:lvl w:ilvl="7">
      <w:start w:val="1"/>
      <w:numFmt w:val="decimal"/>
      <w:lvlText w:val="(%8)"/>
      <w:lvlJc w:val="left"/>
      <w:pPr>
        <w:ind w:left="3240" w:hanging="360"/>
      </w:pPr>
      <w:rPr>
        <w:vertAlign w:val="baseline"/>
      </w:rPr>
    </w:lvl>
    <w:lvl w:ilvl="8">
      <w:start w:val="1"/>
      <w:numFmt w:val="decimal"/>
      <w:lvlText w:val="(%9)"/>
      <w:lvlJc w:val="left"/>
      <w:pPr>
        <w:ind w:left="3600" w:hanging="360"/>
      </w:pPr>
      <w:rPr>
        <w:vertAlign w:val="baseline"/>
      </w:rPr>
    </w:lvl>
  </w:abstractNum>
  <w:abstractNum w:abstractNumId="6">
    <w:lvl w:ilvl="0">
      <w:start w:val="1"/>
      <w:numFmt w:val="decimal"/>
      <w:lvlText w:val="(%1)"/>
      <w:lvlJc w:val="left"/>
      <w:pPr>
        <w:ind w:left="567" w:hanging="567"/>
      </w:pPr>
      <w:rPr>
        <w:vertAlign w:val="baseline"/>
      </w:rPr>
    </w:lvl>
    <w:lvl w:ilvl="1">
      <w:start w:val="1"/>
      <w:numFmt w:val="lowerLetter"/>
      <w:lvlText w:val="%2)"/>
      <w:lvlJc w:val="left"/>
      <w:pPr>
        <w:ind w:left="964" w:hanging="397"/>
      </w:pPr>
      <w:rPr>
        <w:vertAlign w:val="baseline"/>
      </w:rPr>
    </w:lvl>
    <w:lvl w:ilvl="2">
      <w:start w:val="1"/>
      <w:numFmt w:val="decimal"/>
      <w:lvlText w:val="(%3)"/>
      <w:lvlJc w:val="left"/>
      <w:pPr>
        <w:ind w:left="1440" w:hanging="360"/>
      </w:pPr>
      <w:rPr>
        <w:vertAlign w:val="baseline"/>
      </w:rPr>
    </w:lvl>
    <w:lvl w:ilvl="3">
      <w:start w:val="1"/>
      <w:numFmt w:val="decimal"/>
      <w:lvlText w:val="(%4)"/>
      <w:lvlJc w:val="left"/>
      <w:pPr>
        <w:ind w:left="1800" w:hanging="360"/>
      </w:pPr>
      <w:rPr>
        <w:vertAlign w:val="baseline"/>
      </w:rPr>
    </w:lvl>
    <w:lvl w:ilvl="4">
      <w:start w:val="1"/>
      <w:numFmt w:val="decimal"/>
      <w:lvlText w:val="(%5)"/>
      <w:lvlJc w:val="left"/>
      <w:pPr>
        <w:ind w:left="2160" w:hanging="360"/>
      </w:pPr>
      <w:rPr>
        <w:vertAlign w:val="baseline"/>
      </w:rPr>
    </w:lvl>
    <w:lvl w:ilvl="5">
      <w:start w:val="1"/>
      <w:numFmt w:val="decimal"/>
      <w:lvlText w:val="(%6)"/>
      <w:lvlJc w:val="left"/>
      <w:pPr>
        <w:ind w:left="2520" w:hanging="360"/>
      </w:pPr>
      <w:rPr>
        <w:vertAlign w:val="baseline"/>
      </w:rPr>
    </w:lvl>
    <w:lvl w:ilvl="6">
      <w:start w:val="1"/>
      <w:numFmt w:val="decimal"/>
      <w:lvlText w:val="(%7)"/>
      <w:lvlJc w:val="left"/>
      <w:pPr>
        <w:ind w:left="2880" w:hanging="360"/>
      </w:pPr>
      <w:rPr>
        <w:vertAlign w:val="baseline"/>
      </w:rPr>
    </w:lvl>
    <w:lvl w:ilvl="7">
      <w:start w:val="1"/>
      <w:numFmt w:val="decimal"/>
      <w:lvlText w:val="(%8)"/>
      <w:lvlJc w:val="left"/>
      <w:pPr>
        <w:ind w:left="3240" w:hanging="360"/>
      </w:pPr>
      <w:rPr>
        <w:vertAlign w:val="baseline"/>
      </w:rPr>
    </w:lvl>
    <w:lvl w:ilvl="8">
      <w:start w:val="1"/>
      <w:numFmt w:val="decimal"/>
      <w:lvlText w:val="(%9)"/>
      <w:lvlJc w:val="left"/>
      <w:pPr>
        <w:ind w:left="3600" w:hanging="360"/>
      </w:pPr>
      <w:rPr>
        <w:vertAlign w:val="baseline"/>
      </w:rPr>
    </w:lvl>
  </w:abstractNum>
  <w:abstractNum w:abstractNumId="7">
    <w:lvl w:ilvl="0">
      <w:start w:val="1"/>
      <w:numFmt w:val="decimal"/>
      <w:lvlText w:val="(%1)"/>
      <w:lvlJc w:val="left"/>
      <w:pPr>
        <w:ind w:left="567" w:hanging="567"/>
      </w:pPr>
      <w:rPr>
        <w:vertAlign w:val="baseline"/>
      </w:rPr>
    </w:lvl>
    <w:lvl w:ilvl="1">
      <w:start w:val="1"/>
      <w:numFmt w:val="lowerLetter"/>
      <w:lvlText w:val="%2)"/>
      <w:lvlJc w:val="left"/>
      <w:pPr>
        <w:ind w:left="964" w:hanging="397"/>
      </w:pPr>
      <w:rPr>
        <w:vertAlign w:val="baseline"/>
      </w:rPr>
    </w:lvl>
    <w:lvl w:ilvl="2">
      <w:start w:val="1"/>
      <w:numFmt w:val="decimal"/>
      <w:lvlText w:val="(%3)"/>
      <w:lvlJc w:val="left"/>
      <w:pPr>
        <w:ind w:left="1440" w:hanging="360"/>
      </w:pPr>
      <w:rPr>
        <w:vertAlign w:val="baseline"/>
      </w:rPr>
    </w:lvl>
    <w:lvl w:ilvl="3">
      <w:start w:val="1"/>
      <w:numFmt w:val="decimal"/>
      <w:lvlText w:val="(%4)"/>
      <w:lvlJc w:val="left"/>
      <w:pPr>
        <w:ind w:left="1800" w:hanging="360"/>
      </w:pPr>
      <w:rPr>
        <w:vertAlign w:val="baseline"/>
      </w:rPr>
    </w:lvl>
    <w:lvl w:ilvl="4">
      <w:start w:val="1"/>
      <w:numFmt w:val="decimal"/>
      <w:lvlText w:val="(%5)"/>
      <w:lvlJc w:val="left"/>
      <w:pPr>
        <w:ind w:left="2160" w:hanging="360"/>
      </w:pPr>
      <w:rPr>
        <w:vertAlign w:val="baseline"/>
      </w:rPr>
    </w:lvl>
    <w:lvl w:ilvl="5">
      <w:start w:val="1"/>
      <w:numFmt w:val="decimal"/>
      <w:lvlText w:val="(%6)"/>
      <w:lvlJc w:val="left"/>
      <w:pPr>
        <w:ind w:left="2520" w:hanging="360"/>
      </w:pPr>
      <w:rPr>
        <w:vertAlign w:val="baseline"/>
      </w:rPr>
    </w:lvl>
    <w:lvl w:ilvl="6">
      <w:start w:val="1"/>
      <w:numFmt w:val="decimal"/>
      <w:lvlText w:val="(%7)"/>
      <w:lvlJc w:val="left"/>
      <w:pPr>
        <w:ind w:left="2880" w:hanging="360"/>
      </w:pPr>
      <w:rPr>
        <w:vertAlign w:val="baseline"/>
      </w:rPr>
    </w:lvl>
    <w:lvl w:ilvl="7">
      <w:start w:val="1"/>
      <w:numFmt w:val="decimal"/>
      <w:lvlText w:val="(%8)"/>
      <w:lvlJc w:val="left"/>
      <w:pPr>
        <w:ind w:left="3240" w:hanging="360"/>
      </w:pPr>
      <w:rPr>
        <w:vertAlign w:val="baseline"/>
      </w:rPr>
    </w:lvl>
    <w:lvl w:ilvl="8">
      <w:start w:val="1"/>
      <w:numFmt w:val="decimal"/>
      <w:lvlText w:val="(%9)"/>
      <w:lvlJc w:val="left"/>
      <w:pPr>
        <w:ind w:left="3600" w:hanging="360"/>
      </w:pPr>
      <w:rPr>
        <w:vertAlign w:val="baseli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Liberation Serif" w:cs="Liberation Serif" w:eastAsia="Liberation Serif" w:hAnsi="Liberation Serif"/>
        <w:lang w:val="cs-CZ"/>
      </w:rPr>
    </w:rPrDefault>
    <w:pPrDefault>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80" w:lineRule="auto"/>
    </w:pPr>
    <w:rPr>
      <w:b w:val="1"/>
      <w:sz w:val="48"/>
      <w:szCs w:val="48"/>
    </w:rPr>
  </w:style>
  <w:style w:type="paragraph" w:styleId="Heading2">
    <w:name w:val="heading 2"/>
    <w:basedOn w:val="Normal"/>
    <w:next w:val="Normal"/>
    <w:pPr>
      <w:keepNext w:val="1"/>
      <w:keepLines w:val="1"/>
      <w:pageBreakBefore w:val="0"/>
      <w:spacing w:after="80" w:before="360" w:lineRule="auto"/>
    </w:pPr>
    <w:rPr>
      <w:b w:val="1"/>
      <w:sz w:val="36"/>
      <w:szCs w:val="36"/>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 w:type="table" w:styleId="Table1">
    <w:basedOn w:val="TableNormal"/>
    <w:tblPr>
      <w:tblStyleRowBandSize w:val="1"/>
      <w:tblStyleColBandSize w:val="1"/>
      <w:tblCellMar>
        <w:top w:w="0.0" w:type="dxa"/>
        <w:left w:w="10.0" w:type="dxa"/>
        <w:bottom w:w="0.0" w:type="dxa"/>
        <w:right w:w="10.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footnotes" Target="footnotes.xml"/><Relationship Id="rId5" Type="http://schemas.openxmlformats.org/officeDocument/2006/relationships/numbering" Target="numbering.xml"/><Relationship Id="rId6" Type="http://schemas.openxmlformats.org/officeDocument/2006/relationships/styles" Target="styles.xml"/><Relationship Id="rId7" Type="http://schemas.openxmlformats.org/officeDocument/2006/relationships/customXml" Target="../customXML/item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la4tMwOpQ7LK/VLYh8Tx3vhizZw==">CgMxLjA4AHIhMXBicWtVLTZaZ251dFFOajVoRDZka0w5LTRJWHlyNjc3</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