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141AE8" w14:textId="77777777" w:rsidR="00053DA3" w:rsidRPr="007358C0" w:rsidRDefault="00053DA3" w:rsidP="007358C0">
      <w:pPr>
        <w:spacing w:after="6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358C0">
        <w:rPr>
          <w:rFonts w:ascii="Arial" w:eastAsia="Times New Roman" w:hAnsi="Arial" w:cs="Arial"/>
          <w:b/>
          <w:sz w:val="24"/>
          <w:szCs w:val="24"/>
        </w:rPr>
        <w:t xml:space="preserve">MĚSTO </w:t>
      </w:r>
      <w:r w:rsidR="007F1834" w:rsidRPr="007358C0">
        <w:rPr>
          <w:rFonts w:ascii="Arial" w:eastAsia="Times New Roman" w:hAnsi="Arial" w:cs="Arial"/>
          <w:b/>
          <w:sz w:val="24"/>
          <w:szCs w:val="24"/>
        </w:rPr>
        <w:t>ZÁKUPY</w:t>
      </w:r>
    </w:p>
    <w:p w14:paraId="7228DA73" w14:textId="2E283A46" w:rsidR="007B5E04" w:rsidRPr="007358C0" w:rsidRDefault="007B5E04" w:rsidP="0068649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358C0">
        <w:rPr>
          <w:rFonts w:ascii="Arial" w:eastAsia="Times New Roman" w:hAnsi="Arial" w:cs="Arial"/>
          <w:b/>
          <w:sz w:val="24"/>
          <w:szCs w:val="24"/>
        </w:rPr>
        <w:t>ZASTUPITELSTVO MĚSTA ZÁKUPY</w:t>
      </w:r>
    </w:p>
    <w:p w14:paraId="4C58E15D" w14:textId="77777777" w:rsidR="00053DA3" w:rsidRPr="007358C0" w:rsidRDefault="00053DA3" w:rsidP="00053DA3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</w:rPr>
      </w:pPr>
    </w:p>
    <w:p w14:paraId="08CA97A3" w14:textId="210036CE" w:rsidR="00053DA3" w:rsidRPr="00A16110" w:rsidRDefault="00053DA3" w:rsidP="00053DA3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A16110">
        <w:rPr>
          <w:rFonts w:ascii="Arial" w:eastAsia="Times New Roman" w:hAnsi="Arial" w:cs="Arial"/>
          <w:b/>
        </w:rPr>
        <w:t>Obecně závazná vyhláška</w:t>
      </w:r>
      <w:r w:rsidR="00A16110" w:rsidRPr="00A16110">
        <w:rPr>
          <w:rFonts w:ascii="Arial" w:eastAsia="Times New Roman" w:hAnsi="Arial" w:cs="Arial"/>
          <w:b/>
        </w:rPr>
        <w:t xml:space="preserve"> města</w:t>
      </w:r>
      <w:r w:rsidRPr="00A16110">
        <w:rPr>
          <w:rFonts w:ascii="Arial" w:eastAsia="Times New Roman" w:hAnsi="Arial" w:cs="Arial"/>
          <w:b/>
        </w:rPr>
        <w:t>,</w:t>
      </w:r>
    </w:p>
    <w:p w14:paraId="204331BD" w14:textId="77777777" w:rsidR="00A16110" w:rsidRPr="00355823" w:rsidRDefault="00A16110" w:rsidP="00A16110">
      <w:pPr>
        <w:spacing w:after="120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kterou se zakazuje požívání alkoholických nápojů za účelem zabezpečení místních záležitostí veřejného pořádku na vymezených veřejných prostranstvích</w:t>
      </w:r>
    </w:p>
    <w:p w14:paraId="6F301D20" w14:textId="77777777" w:rsidR="00846B4F" w:rsidRDefault="00846B4F" w:rsidP="00053DA3">
      <w:pPr>
        <w:spacing w:after="0" w:line="240" w:lineRule="auto"/>
        <w:rPr>
          <w:rFonts w:ascii="Arial" w:eastAsia="Times New Roman" w:hAnsi="Arial" w:cs="Arial"/>
          <w:b/>
        </w:rPr>
      </w:pPr>
    </w:p>
    <w:p w14:paraId="0100F3E0" w14:textId="77777777" w:rsidR="00846B4F" w:rsidRPr="007358C0" w:rsidRDefault="00846B4F" w:rsidP="00053DA3">
      <w:pPr>
        <w:spacing w:after="0" w:line="240" w:lineRule="auto"/>
        <w:rPr>
          <w:rFonts w:ascii="Arial" w:eastAsia="Times New Roman" w:hAnsi="Arial" w:cs="Arial"/>
          <w:b/>
        </w:rPr>
      </w:pPr>
    </w:p>
    <w:p w14:paraId="1DD9FAC1" w14:textId="1E6487B7" w:rsidR="00053DA3" w:rsidRPr="00D6013C" w:rsidRDefault="00053DA3" w:rsidP="00A16110">
      <w:pPr>
        <w:spacing w:after="0"/>
        <w:jc w:val="both"/>
        <w:rPr>
          <w:rFonts w:ascii="Arial" w:eastAsia="Times New Roman" w:hAnsi="Arial" w:cs="Arial"/>
          <w:i/>
        </w:rPr>
      </w:pPr>
      <w:r w:rsidRPr="00D6013C">
        <w:rPr>
          <w:rFonts w:ascii="Arial" w:eastAsia="Times New Roman" w:hAnsi="Arial" w:cs="Arial"/>
        </w:rPr>
        <w:t xml:space="preserve">Zastupitelstvo města </w:t>
      </w:r>
      <w:r w:rsidR="007F1834" w:rsidRPr="00D6013C">
        <w:rPr>
          <w:rFonts w:ascii="Arial" w:eastAsia="Times New Roman" w:hAnsi="Arial" w:cs="Arial"/>
        </w:rPr>
        <w:t>Zákupy</w:t>
      </w:r>
      <w:r w:rsidRPr="00D6013C">
        <w:rPr>
          <w:rFonts w:ascii="Arial" w:eastAsia="Times New Roman" w:hAnsi="Arial" w:cs="Arial"/>
        </w:rPr>
        <w:t xml:space="preserve"> se na svém zasedání dne </w:t>
      </w:r>
      <w:r w:rsidR="007358C0" w:rsidRPr="00D6013C">
        <w:rPr>
          <w:rFonts w:ascii="Arial" w:eastAsia="Times New Roman" w:hAnsi="Arial" w:cs="Arial"/>
        </w:rPr>
        <w:t>13</w:t>
      </w:r>
      <w:r w:rsidR="001234B8" w:rsidRPr="00D6013C">
        <w:rPr>
          <w:rFonts w:ascii="Arial" w:eastAsia="Times New Roman" w:hAnsi="Arial" w:cs="Arial"/>
        </w:rPr>
        <w:t xml:space="preserve">. </w:t>
      </w:r>
      <w:r w:rsidR="007358C0" w:rsidRPr="00D6013C">
        <w:rPr>
          <w:rFonts w:ascii="Arial" w:eastAsia="Times New Roman" w:hAnsi="Arial" w:cs="Arial"/>
        </w:rPr>
        <w:t>11</w:t>
      </w:r>
      <w:r w:rsidR="001234B8" w:rsidRPr="00D6013C">
        <w:rPr>
          <w:rFonts w:ascii="Arial" w:eastAsia="Times New Roman" w:hAnsi="Arial" w:cs="Arial"/>
        </w:rPr>
        <w:t>. 20</w:t>
      </w:r>
      <w:r w:rsidR="007358C0" w:rsidRPr="00D6013C">
        <w:rPr>
          <w:rFonts w:ascii="Arial" w:eastAsia="Times New Roman" w:hAnsi="Arial" w:cs="Arial"/>
        </w:rPr>
        <w:t>24</w:t>
      </w:r>
      <w:r w:rsidR="001234B8" w:rsidRPr="00D6013C">
        <w:rPr>
          <w:rFonts w:ascii="Arial" w:eastAsia="Times New Roman" w:hAnsi="Arial" w:cs="Arial"/>
        </w:rPr>
        <w:t xml:space="preserve"> </w:t>
      </w:r>
      <w:r w:rsidR="007358C0" w:rsidRPr="00D6013C">
        <w:rPr>
          <w:rFonts w:ascii="Arial" w:eastAsia="Times New Roman" w:hAnsi="Arial" w:cs="Arial"/>
        </w:rPr>
        <w:t>usnes</w:t>
      </w:r>
      <w:r w:rsidRPr="00D6013C">
        <w:rPr>
          <w:rFonts w:ascii="Arial" w:eastAsia="Times New Roman" w:hAnsi="Arial" w:cs="Arial"/>
        </w:rPr>
        <w:t>lo vydat v souladu s ustanovením § 10 písm. a) a § 84 odst. 2 písm. h) zákona č. 128/2000 Sb., o obcích (obecní zřízení), ve znění pozdějších předpisů, tuto obecně závaznou vyhlášku</w:t>
      </w:r>
      <w:r w:rsidR="00A16110">
        <w:rPr>
          <w:rFonts w:ascii="Arial" w:eastAsia="Times New Roman" w:hAnsi="Arial" w:cs="Arial"/>
        </w:rPr>
        <w:t xml:space="preserve"> (dále jen „vyhláška“)</w:t>
      </w:r>
      <w:r w:rsidRPr="00D6013C">
        <w:rPr>
          <w:rFonts w:ascii="Arial" w:eastAsia="Times New Roman" w:hAnsi="Arial" w:cs="Arial"/>
        </w:rPr>
        <w:t>:</w:t>
      </w:r>
    </w:p>
    <w:p w14:paraId="4E759016" w14:textId="77777777" w:rsidR="00053DA3" w:rsidRPr="00D6013C" w:rsidRDefault="00053DA3" w:rsidP="00053DA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F256AE5" w14:textId="77777777" w:rsidR="00053DA3" w:rsidRPr="00ED1CDD" w:rsidRDefault="00053DA3" w:rsidP="00053DA3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ED1CDD">
        <w:rPr>
          <w:rFonts w:ascii="Arial" w:eastAsia="Times New Roman" w:hAnsi="Arial" w:cs="Arial"/>
          <w:b/>
        </w:rPr>
        <w:t>Čl. 1</w:t>
      </w:r>
    </w:p>
    <w:p w14:paraId="298290EF" w14:textId="302BA853" w:rsidR="00053DA3" w:rsidRPr="00ED1CDD" w:rsidRDefault="00053DA3" w:rsidP="007358C0">
      <w:pPr>
        <w:spacing w:after="240" w:line="240" w:lineRule="auto"/>
        <w:jc w:val="center"/>
        <w:rPr>
          <w:rFonts w:ascii="Arial" w:eastAsia="Times New Roman" w:hAnsi="Arial" w:cs="Arial"/>
          <w:b/>
        </w:rPr>
      </w:pPr>
      <w:r w:rsidRPr="00ED1CDD">
        <w:rPr>
          <w:rFonts w:ascii="Arial" w:eastAsia="Times New Roman" w:hAnsi="Arial" w:cs="Arial"/>
          <w:b/>
        </w:rPr>
        <w:t>Úvodní ustanovení</w:t>
      </w:r>
    </w:p>
    <w:p w14:paraId="770B9068" w14:textId="79A70A51" w:rsidR="007358C0" w:rsidRPr="00D6013C" w:rsidRDefault="007358C0" w:rsidP="00A16110">
      <w:pPr>
        <w:numPr>
          <w:ilvl w:val="0"/>
          <w:numId w:val="1"/>
        </w:numPr>
        <w:spacing w:after="120"/>
        <w:ind w:left="425" w:hanging="425"/>
        <w:jc w:val="both"/>
        <w:rPr>
          <w:rFonts w:ascii="Arial" w:eastAsia="Calibri" w:hAnsi="Arial" w:cs="Arial"/>
        </w:rPr>
      </w:pPr>
      <w:r w:rsidRPr="00D6013C">
        <w:rPr>
          <w:rFonts w:ascii="Arial" w:eastAsia="Calibri" w:hAnsi="Arial" w:cs="Arial"/>
        </w:rPr>
        <w:t xml:space="preserve">Předmětem této vyhlášky je zákaz </w:t>
      </w:r>
      <w:r w:rsidR="00A16110">
        <w:rPr>
          <w:rFonts w:ascii="Arial" w:eastAsia="Calibri" w:hAnsi="Arial" w:cs="Arial"/>
        </w:rPr>
        <w:t xml:space="preserve">požívání </w:t>
      </w:r>
      <w:r w:rsidR="008D1B7F">
        <w:rPr>
          <w:rFonts w:ascii="Arial" w:eastAsia="Calibri" w:hAnsi="Arial" w:cs="Arial"/>
        </w:rPr>
        <w:t>alkoholických nápojů</w:t>
      </w:r>
      <w:r w:rsidRPr="00D6013C">
        <w:rPr>
          <w:rFonts w:ascii="Arial" w:eastAsia="Calibri" w:hAnsi="Arial" w:cs="Arial"/>
        </w:rPr>
        <w:t>, neboť se jedná o</w:t>
      </w:r>
      <w:r w:rsidR="00A16110">
        <w:rPr>
          <w:rFonts w:ascii="Arial" w:eastAsia="Calibri" w:hAnsi="Arial" w:cs="Arial"/>
        </w:rPr>
        <w:t> </w:t>
      </w:r>
      <w:r w:rsidRPr="00D6013C">
        <w:rPr>
          <w:rFonts w:ascii="Arial" w:eastAsia="Calibri" w:hAnsi="Arial" w:cs="Arial"/>
        </w:rPr>
        <w:t>činnost, kter</w:t>
      </w:r>
      <w:r w:rsidR="008D1B7F">
        <w:rPr>
          <w:rFonts w:ascii="Arial" w:eastAsia="Calibri" w:hAnsi="Arial" w:cs="Arial"/>
        </w:rPr>
        <w:t>á</w:t>
      </w:r>
      <w:r w:rsidRPr="00D6013C">
        <w:rPr>
          <w:rFonts w:ascii="Arial" w:eastAsia="Calibri" w:hAnsi="Arial" w:cs="Arial"/>
        </w:rPr>
        <w:t xml:space="preserve"> by mohl</w:t>
      </w:r>
      <w:r w:rsidR="008D1B7F">
        <w:rPr>
          <w:rFonts w:ascii="Arial" w:eastAsia="Calibri" w:hAnsi="Arial" w:cs="Arial"/>
        </w:rPr>
        <w:t>a</w:t>
      </w:r>
      <w:r w:rsidRPr="00D6013C">
        <w:rPr>
          <w:rFonts w:ascii="Arial" w:eastAsia="Calibri" w:hAnsi="Arial" w:cs="Arial"/>
        </w:rPr>
        <w:t xml:space="preserve"> narušit veřejný pořádek v obci nebo být v rozporu s dobrými mravy, ochranou bezpečnosti, zdraví a majetku.</w:t>
      </w:r>
    </w:p>
    <w:p w14:paraId="7C0E110A" w14:textId="1DD22C0A" w:rsidR="007358C0" w:rsidRPr="00D6013C" w:rsidRDefault="00053DA3" w:rsidP="00BA7465">
      <w:pPr>
        <w:numPr>
          <w:ilvl w:val="0"/>
          <w:numId w:val="1"/>
        </w:numPr>
        <w:spacing w:after="360"/>
        <w:ind w:left="425" w:hanging="425"/>
        <w:jc w:val="both"/>
        <w:rPr>
          <w:rFonts w:ascii="Arial" w:eastAsia="Calibri" w:hAnsi="Arial" w:cs="Arial"/>
        </w:rPr>
      </w:pPr>
      <w:r w:rsidRPr="00D6013C">
        <w:rPr>
          <w:rFonts w:ascii="Arial" w:eastAsia="Calibri" w:hAnsi="Arial" w:cs="Arial"/>
        </w:rPr>
        <w:t xml:space="preserve">Cílem této vyhlášky je vymezit některá místa veřejného prostranství města </w:t>
      </w:r>
      <w:r w:rsidR="007F1834" w:rsidRPr="00D6013C">
        <w:rPr>
          <w:rFonts w:ascii="Arial" w:eastAsia="Calibri" w:hAnsi="Arial" w:cs="Arial"/>
        </w:rPr>
        <w:t>Zákupy</w:t>
      </w:r>
      <w:r w:rsidRPr="00D6013C">
        <w:rPr>
          <w:rFonts w:ascii="Arial" w:eastAsia="Calibri" w:hAnsi="Arial" w:cs="Arial"/>
        </w:rPr>
        <w:t xml:space="preserve"> v rámci zabezpečení místních záležitostí veřejného pořádku, na kterých se zakazuje </w:t>
      </w:r>
      <w:r w:rsidR="007358C0" w:rsidRPr="00D6013C">
        <w:rPr>
          <w:rFonts w:ascii="Arial" w:eastAsia="Calibri" w:hAnsi="Arial" w:cs="Arial"/>
        </w:rPr>
        <w:t>požívat</w:t>
      </w:r>
      <w:r w:rsidR="00B07814">
        <w:rPr>
          <w:rFonts w:ascii="Arial" w:eastAsia="Calibri" w:hAnsi="Arial" w:cs="Arial"/>
        </w:rPr>
        <w:t xml:space="preserve"> alkoholické nápoje</w:t>
      </w:r>
      <w:r w:rsidR="007358C0" w:rsidRPr="00D6013C">
        <w:rPr>
          <w:rFonts w:ascii="Arial" w:eastAsia="Calibri" w:hAnsi="Arial" w:cs="Arial"/>
        </w:rPr>
        <w:t>, a tím regulovat činnost, které by mohl</w:t>
      </w:r>
      <w:r w:rsidR="00B07814">
        <w:rPr>
          <w:rFonts w:ascii="Arial" w:eastAsia="Calibri" w:hAnsi="Arial" w:cs="Arial"/>
        </w:rPr>
        <w:t>a</w:t>
      </w:r>
      <w:r w:rsidR="007358C0" w:rsidRPr="00D6013C">
        <w:rPr>
          <w:rFonts w:ascii="Arial" w:eastAsia="Calibri" w:hAnsi="Arial" w:cs="Arial"/>
        </w:rPr>
        <w:t xml:space="preserve"> narušit veřejný pořádek ve</w:t>
      </w:r>
      <w:r w:rsidR="00B07814">
        <w:rPr>
          <w:rFonts w:ascii="Arial" w:eastAsia="Calibri" w:hAnsi="Arial" w:cs="Arial"/>
        </w:rPr>
        <w:t> </w:t>
      </w:r>
      <w:r w:rsidR="007358C0" w:rsidRPr="00D6013C">
        <w:rPr>
          <w:rFonts w:ascii="Arial" w:eastAsia="Calibri" w:hAnsi="Arial" w:cs="Arial"/>
        </w:rPr>
        <w:t>městě nebo být v rozporu s dobrými mravy, ochrannou bezpečnosti, zdraví a majetku.</w:t>
      </w:r>
    </w:p>
    <w:p w14:paraId="580C037F" w14:textId="77777777" w:rsidR="00053DA3" w:rsidRPr="00ED1CDD" w:rsidRDefault="00053DA3" w:rsidP="00A16110">
      <w:pPr>
        <w:spacing w:after="0"/>
        <w:jc w:val="center"/>
        <w:rPr>
          <w:rFonts w:ascii="Arial" w:eastAsia="Times New Roman" w:hAnsi="Arial" w:cs="Arial"/>
          <w:b/>
        </w:rPr>
      </w:pPr>
      <w:r w:rsidRPr="00ED1CDD">
        <w:rPr>
          <w:rFonts w:ascii="Arial" w:eastAsia="Times New Roman" w:hAnsi="Arial" w:cs="Arial"/>
          <w:b/>
        </w:rPr>
        <w:t>Čl. 2</w:t>
      </w:r>
    </w:p>
    <w:p w14:paraId="5FEEF41B" w14:textId="1E0ADF81" w:rsidR="00053DA3" w:rsidRPr="00ED1CDD" w:rsidRDefault="00053DA3" w:rsidP="00BA7465">
      <w:pPr>
        <w:spacing w:after="240"/>
        <w:jc w:val="center"/>
        <w:rPr>
          <w:rFonts w:ascii="Arial" w:eastAsia="Times New Roman" w:hAnsi="Arial" w:cs="Arial"/>
          <w:b/>
        </w:rPr>
      </w:pPr>
      <w:r w:rsidRPr="00ED1CDD">
        <w:rPr>
          <w:rFonts w:ascii="Arial" w:eastAsia="Times New Roman" w:hAnsi="Arial" w:cs="Arial"/>
          <w:b/>
        </w:rPr>
        <w:t>Vymezení pojm</w:t>
      </w:r>
      <w:r w:rsidR="00ED1CDD" w:rsidRPr="00ED1CDD">
        <w:rPr>
          <w:rFonts w:ascii="Arial" w:eastAsia="Times New Roman" w:hAnsi="Arial" w:cs="Arial"/>
          <w:b/>
        </w:rPr>
        <w:t>ů</w:t>
      </w:r>
    </w:p>
    <w:p w14:paraId="3AEBB845" w14:textId="77777777" w:rsidR="00FC6729" w:rsidRPr="00D6013C" w:rsidRDefault="00FC6729" w:rsidP="00A16110">
      <w:pPr>
        <w:pStyle w:val="Odstavecseseznamem"/>
        <w:numPr>
          <w:ilvl w:val="0"/>
          <w:numId w:val="13"/>
        </w:numPr>
        <w:spacing w:after="120"/>
        <w:ind w:left="425" w:hanging="425"/>
        <w:contextualSpacing w:val="0"/>
        <w:jc w:val="both"/>
        <w:rPr>
          <w:rFonts w:ascii="Arial" w:eastAsia="Calibri" w:hAnsi="Arial" w:cs="Arial"/>
        </w:rPr>
      </w:pPr>
      <w:r w:rsidRPr="00D6013C">
        <w:rPr>
          <w:rFonts w:ascii="Arial" w:eastAsia="Calibri" w:hAnsi="Arial" w:cs="Arial"/>
        </w:rPr>
        <w:t>Veřejným prostranstvím jsou všechna náměstí, ulice, tržiště, chodníky, veřejná zeleň, parky a další prostory přístupné každému bez omezení, tedy sloužící obecnému užívání, a to bez ohledu na vlastnictví k tomuto prostoru.</w:t>
      </w:r>
      <w:r w:rsidRPr="00D6013C">
        <w:rPr>
          <w:rFonts w:ascii="Arial" w:eastAsia="Calibri" w:hAnsi="Arial" w:cs="Arial"/>
          <w:vertAlign w:val="superscript"/>
        </w:rPr>
        <w:footnoteReference w:id="1"/>
      </w:r>
      <w:r w:rsidRPr="00D6013C">
        <w:rPr>
          <w:rFonts w:ascii="Arial" w:eastAsia="Calibri" w:hAnsi="Arial" w:cs="Arial"/>
          <w:vertAlign w:val="superscript"/>
        </w:rPr>
        <w:t>)</w:t>
      </w:r>
      <w:r w:rsidRPr="00D6013C">
        <w:rPr>
          <w:rFonts w:ascii="Arial" w:eastAsia="Calibri" w:hAnsi="Arial" w:cs="Arial"/>
        </w:rPr>
        <w:t xml:space="preserve"> </w:t>
      </w:r>
    </w:p>
    <w:p w14:paraId="61532588" w14:textId="5E474D40" w:rsidR="00D6013C" w:rsidRPr="00D6013C" w:rsidRDefault="00D6013C" w:rsidP="00BA7465">
      <w:pPr>
        <w:pStyle w:val="Odstavecseseznamem"/>
        <w:numPr>
          <w:ilvl w:val="0"/>
          <w:numId w:val="13"/>
        </w:numPr>
        <w:spacing w:after="360"/>
        <w:ind w:left="425" w:hanging="425"/>
        <w:contextualSpacing w:val="0"/>
        <w:jc w:val="both"/>
        <w:rPr>
          <w:rFonts w:ascii="Arial" w:eastAsia="Calibri" w:hAnsi="Arial" w:cs="Arial"/>
        </w:rPr>
      </w:pPr>
      <w:r w:rsidRPr="00D6013C">
        <w:rPr>
          <w:rFonts w:ascii="Arial" w:eastAsia="Calibri" w:hAnsi="Arial" w:cs="Arial"/>
        </w:rPr>
        <w:t>Alkoholickým nápojem se rozumí nápoj obsahující více než 0,5</w:t>
      </w:r>
      <w:r w:rsidR="00ED1CDD">
        <w:rPr>
          <w:rFonts w:ascii="Arial" w:eastAsia="Calibri" w:hAnsi="Arial" w:cs="Arial"/>
        </w:rPr>
        <w:t xml:space="preserve"> % objemových ethanolu.</w:t>
      </w:r>
      <w:r w:rsidRPr="004C3421">
        <w:rPr>
          <w:rFonts w:ascii="Arial" w:eastAsia="Calibri" w:hAnsi="Arial" w:cs="Arial"/>
          <w:vertAlign w:val="superscript"/>
        </w:rPr>
        <w:footnoteReference w:id="2"/>
      </w:r>
      <w:r w:rsidRPr="004C3421">
        <w:rPr>
          <w:rFonts w:ascii="Arial" w:eastAsia="Calibri" w:hAnsi="Arial" w:cs="Arial"/>
          <w:vertAlign w:val="superscript"/>
        </w:rPr>
        <w:t>)</w:t>
      </w:r>
    </w:p>
    <w:p w14:paraId="760379D0" w14:textId="1C988A21" w:rsidR="00053DA3" w:rsidRPr="00ED1CDD" w:rsidRDefault="00053DA3" w:rsidP="00A16110">
      <w:pPr>
        <w:spacing w:after="0"/>
        <w:contextualSpacing/>
        <w:jc w:val="center"/>
        <w:rPr>
          <w:rFonts w:ascii="Arial" w:eastAsia="Times New Roman" w:hAnsi="Arial" w:cs="Arial"/>
          <w:b/>
        </w:rPr>
      </w:pPr>
      <w:r w:rsidRPr="00ED1CDD">
        <w:rPr>
          <w:rFonts w:ascii="Arial" w:eastAsia="Times New Roman" w:hAnsi="Arial" w:cs="Arial"/>
          <w:b/>
        </w:rPr>
        <w:t>Čl. 3</w:t>
      </w:r>
    </w:p>
    <w:p w14:paraId="7E650F87" w14:textId="695D1A5B" w:rsidR="00053DA3" w:rsidRPr="00ED1CDD" w:rsidRDefault="00ED1CDD" w:rsidP="00BA7465">
      <w:pPr>
        <w:spacing w:after="240"/>
        <w:jc w:val="center"/>
        <w:rPr>
          <w:rFonts w:ascii="Arial" w:eastAsia="Times New Roman" w:hAnsi="Arial" w:cs="Arial"/>
          <w:b/>
        </w:rPr>
      </w:pPr>
      <w:r w:rsidRPr="00ED1CDD">
        <w:rPr>
          <w:rFonts w:ascii="Arial" w:eastAsia="Times New Roman" w:hAnsi="Arial" w:cs="Arial"/>
          <w:b/>
        </w:rPr>
        <w:t>Zákaz požívání alkoholických nápojů na některých veřejných prostrans</w:t>
      </w:r>
      <w:r>
        <w:rPr>
          <w:rFonts w:ascii="Arial" w:eastAsia="Times New Roman" w:hAnsi="Arial" w:cs="Arial"/>
          <w:b/>
        </w:rPr>
        <w:t>t</w:t>
      </w:r>
      <w:r w:rsidRPr="00ED1CDD">
        <w:rPr>
          <w:rFonts w:ascii="Arial" w:eastAsia="Times New Roman" w:hAnsi="Arial" w:cs="Arial"/>
          <w:b/>
        </w:rPr>
        <w:t>vích</w:t>
      </w:r>
    </w:p>
    <w:p w14:paraId="132E2A5F" w14:textId="62C8195E" w:rsidR="00A16110" w:rsidRPr="00A16110" w:rsidRDefault="00A16110" w:rsidP="00A16110">
      <w:pPr>
        <w:keepNext/>
        <w:keepLines/>
        <w:spacing w:after="60"/>
        <w:jc w:val="both"/>
        <w:rPr>
          <w:rFonts w:ascii="Arial" w:hAnsi="Arial" w:cs="Arial"/>
        </w:rPr>
      </w:pPr>
      <w:r w:rsidRPr="00A16110">
        <w:rPr>
          <w:rFonts w:ascii="Arial" w:hAnsi="Arial" w:cs="Arial"/>
        </w:rPr>
        <w:t xml:space="preserve">Požívání alkoholických nápojů a zdržování se s otevřenou nádobou s alkoholickým nápojem (dále jen „zákaz požívání alkoholických nápojů“) je zakázáno na </w:t>
      </w:r>
      <w:r>
        <w:rPr>
          <w:rFonts w:ascii="Arial" w:hAnsi="Arial" w:cs="Arial"/>
        </w:rPr>
        <w:t xml:space="preserve">těchto </w:t>
      </w:r>
      <w:r w:rsidRPr="00A16110">
        <w:rPr>
          <w:rFonts w:ascii="Arial" w:hAnsi="Arial" w:cs="Arial"/>
        </w:rPr>
        <w:t>veřejných prostranstvích</w:t>
      </w:r>
      <w:r>
        <w:rPr>
          <w:rFonts w:ascii="Arial" w:hAnsi="Arial" w:cs="Arial"/>
        </w:rPr>
        <w:t>:</w:t>
      </w:r>
    </w:p>
    <w:p w14:paraId="5F1482A7" w14:textId="0A76229E" w:rsidR="00686687" w:rsidRPr="00846B4F" w:rsidRDefault="00686687" w:rsidP="00A16110">
      <w:pPr>
        <w:widowControl w:val="0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spacing w:after="60"/>
        <w:ind w:left="426" w:hanging="426"/>
        <w:jc w:val="both"/>
        <w:rPr>
          <w:rFonts w:ascii="Arial" w:eastAsia="Calibri" w:hAnsi="Arial" w:cs="Arial"/>
          <w:noProof/>
        </w:rPr>
      </w:pPr>
      <w:r w:rsidRPr="00846B4F">
        <w:rPr>
          <w:rFonts w:ascii="Arial" w:eastAsia="Calibri" w:hAnsi="Arial" w:cs="Arial"/>
          <w:noProof/>
        </w:rPr>
        <w:t xml:space="preserve">na veřejných prostranstvích </w:t>
      </w:r>
      <w:r w:rsidR="007F1834" w:rsidRPr="00846B4F">
        <w:rPr>
          <w:rFonts w:ascii="Arial" w:eastAsia="Calibri" w:hAnsi="Arial" w:cs="Arial"/>
          <w:noProof/>
        </w:rPr>
        <w:t xml:space="preserve">vyjmenovaných a graficky vymezených </w:t>
      </w:r>
      <w:r w:rsidR="00F17599" w:rsidRPr="00846B4F">
        <w:rPr>
          <w:rFonts w:ascii="Arial" w:hAnsi="Arial" w:cs="Arial"/>
        </w:rPr>
        <w:t>v přílohách č. 1a) až</w:t>
      </w:r>
      <w:r w:rsidR="004C3421">
        <w:rPr>
          <w:rFonts w:ascii="Arial" w:hAnsi="Arial" w:cs="Arial"/>
        </w:rPr>
        <w:t> </w:t>
      </w:r>
      <w:proofErr w:type="gramStart"/>
      <w:r w:rsidR="00F17599" w:rsidRPr="00846B4F">
        <w:rPr>
          <w:rFonts w:ascii="Arial" w:hAnsi="Arial" w:cs="Arial"/>
        </w:rPr>
        <w:t>1d</w:t>
      </w:r>
      <w:proofErr w:type="gramEnd"/>
      <w:r w:rsidR="00F17599" w:rsidRPr="00846B4F">
        <w:rPr>
          <w:rFonts w:ascii="Arial" w:hAnsi="Arial" w:cs="Arial"/>
        </w:rPr>
        <w:t>)</w:t>
      </w:r>
      <w:r w:rsidRPr="00846B4F">
        <w:rPr>
          <w:rFonts w:ascii="Arial" w:eastAsia="Calibri" w:hAnsi="Arial" w:cs="Arial"/>
          <w:noProof/>
        </w:rPr>
        <w:t>, kter</w:t>
      </w:r>
      <w:r w:rsidR="00F17599" w:rsidRPr="00846B4F">
        <w:rPr>
          <w:rFonts w:ascii="Arial" w:eastAsia="Calibri" w:hAnsi="Arial" w:cs="Arial"/>
          <w:noProof/>
        </w:rPr>
        <w:t>é</w:t>
      </w:r>
      <w:r w:rsidRPr="00846B4F">
        <w:rPr>
          <w:rFonts w:ascii="Arial" w:eastAsia="Calibri" w:hAnsi="Arial" w:cs="Arial"/>
          <w:noProof/>
        </w:rPr>
        <w:t xml:space="preserve"> j</w:t>
      </w:r>
      <w:r w:rsidR="00F17599" w:rsidRPr="00846B4F">
        <w:rPr>
          <w:rFonts w:ascii="Arial" w:eastAsia="Calibri" w:hAnsi="Arial" w:cs="Arial"/>
          <w:noProof/>
        </w:rPr>
        <w:t>sou</w:t>
      </w:r>
      <w:r w:rsidRPr="00846B4F">
        <w:rPr>
          <w:rFonts w:ascii="Arial" w:eastAsia="Calibri" w:hAnsi="Arial" w:cs="Arial"/>
          <w:noProof/>
        </w:rPr>
        <w:t xml:space="preserve"> nedílnou součástí této </w:t>
      </w:r>
      <w:r w:rsidR="004C3421">
        <w:rPr>
          <w:rFonts w:ascii="Arial" w:eastAsia="Calibri" w:hAnsi="Arial" w:cs="Arial"/>
          <w:noProof/>
        </w:rPr>
        <w:t xml:space="preserve">obecně závazné </w:t>
      </w:r>
      <w:r w:rsidRPr="00846B4F">
        <w:rPr>
          <w:rFonts w:ascii="Arial" w:eastAsia="Calibri" w:hAnsi="Arial" w:cs="Arial"/>
          <w:noProof/>
        </w:rPr>
        <w:t>vyhlášky,</w:t>
      </w:r>
    </w:p>
    <w:p w14:paraId="30E52AFE" w14:textId="77777777" w:rsidR="00686687" w:rsidRDefault="00686687" w:rsidP="00A16110">
      <w:pPr>
        <w:widowControl w:val="0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spacing w:after="60"/>
        <w:ind w:left="426" w:hanging="426"/>
        <w:jc w:val="both"/>
        <w:rPr>
          <w:rFonts w:ascii="Arial" w:eastAsia="Calibri" w:hAnsi="Arial" w:cs="Arial"/>
          <w:noProof/>
        </w:rPr>
      </w:pPr>
      <w:r w:rsidRPr="00846B4F">
        <w:rPr>
          <w:rFonts w:ascii="Arial" w:eastAsia="Calibri" w:hAnsi="Arial" w:cs="Arial"/>
          <w:noProof/>
        </w:rPr>
        <w:t>na veřejných prostranstvích v okruhu 50 m od dětských hřišť, sportovišť a sportovních zařízení,</w:t>
      </w:r>
    </w:p>
    <w:p w14:paraId="4F361E75" w14:textId="77777777" w:rsidR="00BA7465" w:rsidRDefault="00BA7465" w:rsidP="00BA7465">
      <w:pPr>
        <w:widowControl w:val="0"/>
        <w:autoSpaceDE w:val="0"/>
        <w:autoSpaceDN w:val="0"/>
        <w:spacing w:after="60"/>
        <w:ind w:left="426"/>
        <w:jc w:val="both"/>
        <w:rPr>
          <w:rFonts w:ascii="Arial" w:eastAsia="Calibri" w:hAnsi="Arial" w:cs="Arial"/>
          <w:noProof/>
        </w:rPr>
      </w:pPr>
    </w:p>
    <w:p w14:paraId="7FBAA4FB" w14:textId="77777777" w:rsidR="00BA7465" w:rsidRPr="00846B4F" w:rsidRDefault="00BA7465" w:rsidP="00BA7465">
      <w:pPr>
        <w:widowControl w:val="0"/>
        <w:autoSpaceDE w:val="0"/>
        <w:autoSpaceDN w:val="0"/>
        <w:spacing w:after="60"/>
        <w:ind w:left="426"/>
        <w:jc w:val="both"/>
        <w:rPr>
          <w:rFonts w:ascii="Arial" w:eastAsia="Calibri" w:hAnsi="Arial" w:cs="Arial"/>
          <w:noProof/>
        </w:rPr>
      </w:pPr>
    </w:p>
    <w:p w14:paraId="62AF2272" w14:textId="0786D741" w:rsidR="007F1834" w:rsidRPr="00846B4F" w:rsidRDefault="00686687" w:rsidP="00A16110">
      <w:pPr>
        <w:widowControl w:val="0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spacing w:after="60"/>
        <w:ind w:left="426" w:hanging="426"/>
        <w:jc w:val="both"/>
        <w:rPr>
          <w:rFonts w:ascii="Arial" w:eastAsia="Calibri" w:hAnsi="Arial" w:cs="Arial"/>
          <w:noProof/>
        </w:rPr>
      </w:pPr>
      <w:r w:rsidRPr="00846B4F">
        <w:rPr>
          <w:rFonts w:ascii="Arial" w:eastAsia="Calibri" w:hAnsi="Arial" w:cs="Arial"/>
          <w:noProof/>
        </w:rPr>
        <w:lastRenderedPageBreak/>
        <w:t xml:space="preserve">na veřejných prostranstvích, na kterých jsou umístěny zastávky veřejné </w:t>
      </w:r>
      <w:r w:rsidR="004C3421">
        <w:rPr>
          <w:rFonts w:ascii="Arial" w:eastAsia="Calibri" w:hAnsi="Arial" w:cs="Arial"/>
          <w:noProof/>
        </w:rPr>
        <w:t>linkové dopravy</w:t>
      </w:r>
      <w:r w:rsidRPr="00846B4F">
        <w:rPr>
          <w:rFonts w:ascii="Arial" w:eastAsia="Calibri" w:hAnsi="Arial" w:cs="Arial"/>
          <w:noProof/>
        </w:rPr>
        <w:t xml:space="preserve"> dopravy a na veřejných prostranstvích v okruhu 10 m od označníku zastávky</w:t>
      </w:r>
      <w:r w:rsidR="004C3421">
        <w:rPr>
          <w:rFonts w:ascii="Arial" w:eastAsia="Calibri" w:hAnsi="Arial" w:cs="Arial"/>
          <w:noProof/>
        </w:rPr>
        <w:t xml:space="preserve"> veřejné linkové dopravy</w:t>
      </w:r>
      <w:r w:rsidR="007F1834" w:rsidRPr="00846B4F">
        <w:rPr>
          <w:rFonts w:ascii="Arial" w:eastAsia="Calibri" w:hAnsi="Arial" w:cs="Arial"/>
          <w:noProof/>
        </w:rPr>
        <w:t>,</w:t>
      </w:r>
    </w:p>
    <w:p w14:paraId="73C956E3" w14:textId="77777777" w:rsidR="007F1834" w:rsidRPr="00846B4F" w:rsidRDefault="007F1834" w:rsidP="00A16110">
      <w:pPr>
        <w:widowControl w:val="0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spacing w:after="60"/>
        <w:ind w:left="426" w:hanging="426"/>
        <w:jc w:val="both"/>
        <w:rPr>
          <w:rFonts w:ascii="Arial" w:eastAsia="Calibri" w:hAnsi="Arial" w:cs="Arial"/>
          <w:noProof/>
        </w:rPr>
      </w:pPr>
      <w:r w:rsidRPr="00846B4F">
        <w:rPr>
          <w:rFonts w:ascii="Arial" w:eastAsia="Calibri" w:hAnsi="Arial" w:cs="Arial"/>
          <w:noProof/>
        </w:rPr>
        <w:t>na veřejných prostranstvích v okruhu 50 metrů od prodejen potravin,</w:t>
      </w:r>
    </w:p>
    <w:p w14:paraId="0E173CC0" w14:textId="77777777" w:rsidR="00686687" w:rsidRPr="00846B4F" w:rsidRDefault="007F1834" w:rsidP="00A16110">
      <w:pPr>
        <w:widowControl w:val="0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spacing w:after="0"/>
        <w:ind w:left="426" w:hanging="426"/>
        <w:jc w:val="both"/>
        <w:rPr>
          <w:rFonts w:ascii="Arial" w:eastAsia="Calibri" w:hAnsi="Arial" w:cs="Arial"/>
          <w:noProof/>
        </w:rPr>
      </w:pPr>
      <w:r w:rsidRPr="00846B4F">
        <w:rPr>
          <w:rFonts w:ascii="Arial" w:eastAsia="Calibri" w:hAnsi="Arial" w:cs="Arial"/>
          <w:noProof/>
        </w:rPr>
        <w:t>na veřejných prostranstvích v okruhu 50 metrů od diskoték, barů, heren a restauračních zařízení</w:t>
      </w:r>
      <w:r w:rsidR="00686687" w:rsidRPr="00846B4F">
        <w:rPr>
          <w:rFonts w:ascii="Arial" w:eastAsia="Calibri" w:hAnsi="Arial" w:cs="Arial"/>
          <w:noProof/>
        </w:rPr>
        <w:t>.</w:t>
      </w:r>
    </w:p>
    <w:p w14:paraId="2C825603" w14:textId="08909907" w:rsidR="0025192F" w:rsidRPr="007358C0" w:rsidRDefault="0025192F" w:rsidP="00A16110">
      <w:pPr>
        <w:widowControl w:val="0"/>
        <w:autoSpaceDE w:val="0"/>
        <w:autoSpaceDN w:val="0"/>
        <w:spacing w:after="0"/>
        <w:ind w:left="714"/>
        <w:jc w:val="both"/>
        <w:rPr>
          <w:rFonts w:ascii="Arial" w:eastAsia="Calibri" w:hAnsi="Arial" w:cs="Arial"/>
          <w:noProof/>
          <w:sz w:val="24"/>
          <w:szCs w:val="24"/>
        </w:rPr>
      </w:pPr>
    </w:p>
    <w:p w14:paraId="1F2A76C7" w14:textId="77777777" w:rsidR="00053DA3" w:rsidRPr="007358C0" w:rsidRDefault="00053DA3" w:rsidP="00A16110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358C0">
        <w:rPr>
          <w:rFonts w:ascii="Arial" w:eastAsia="Times New Roman" w:hAnsi="Arial" w:cs="Arial"/>
          <w:b/>
          <w:sz w:val="24"/>
          <w:szCs w:val="24"/>
        </w:rPr>
        <w:t>Čl. 4</w:t>
      </w:r>
    </w:p>
    <w:p w14:paraId="3B1B60EC" w14:textId="77777777" w:rsidR="00053DA3" w:rsidRPr="007358C0" w:rsidRDefault="00053DA3" w:rsidP="00A16110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358C0">
        <w:rPr>
          <w:rFonts w:ascii="Arial" w:eastAsia="Times New Roman" w:hAnsi="Arial" w:cs="Arial"/>
          <w:b/>
          <w:sz w:val="24"/>
          <w:szCs w:val="24"/>
        </w:rPr>
        <w:t>Výjimky</w:t>
      </w:r>
    </w:p>
    <w:p w14:paraId="24621328" w14:textId="77777777" w:rsidR="00053DA3" w:rsidRPr="007358C0" w:rsidRDefault="00053DA3" w:rsidP="00A16110">
      <w:pPr>
        <w:pStyle w:val="NormlnsWWW"/>
        <w:spacing w:before="0" w:after="0" w:line="276" w:lineRule="auto"/>
        <w:jc w:val="both"/>
        <w:rPr>
          <w:rFonts w:ascii="Arial" w:hAnsi="Arial" w:cs="Arial"/>
          <w:shd w:val="clear" w:color="auto" w:fill="FFFFFF"/>
        </w:rPr>
      </w:pPr>
    </w:p>
    <w:p w14:paraId="61859BB4" w14:textId="77777777" w:rsidR="00053DA3" w:rsidRPr="004C3421" w:rsidRDefault="00053DA3" w:rsidP="00A16110">
      <w:pPr>
        <w:numPr>
          <w:ilvl w:val="0"/>
          <w:numId w:val="4"/>
        </w:numPr>
        <w:spacing w:after="120"/>
        <w:ind w:left="425" w:hanging="425"/>
        <w:jc w:val="both"/>
        <w:rPr>
          <w:rFonts w:ascii="Arial" w:eastAsia="Calibri" w:hAnsi="Arial" w:cs="Arial"/>
        </w:rPr>
      </w:pPr>
      <w:r w:rsidRPr="004C3421">
        <w:rPr>
          <w:rFonts w:ascii="Arial" w:hAnsi="Arial" w:cs="Arial"/>
          <w:shd w:val="clear" w:color="auto" w:fill="FFFFFF"/>
        </w:rPr>
        <w:t>Z</w:t>
      </w:r>
      <w:r w:rsidRPr="004C3421">
        <w:rPr>
          <w:rFonts w:ascii="Arial" w:eastAsia="Calibri" w:hAnsi="Arial" w:cs="Arial"/>
        </w:rPr>
        <w:t>ákaz stanovený v Čl. 3 této vyhlášky se nevztahuje na prostory zahrádek a předzahrádek umístěných na veřejných prostranstvích u provozoven restaurací, kaváren a cukráren.</w:t>
      </w:r>
    </w:p>
    <w:p w14:paraId="3E150D82" w14:textId="77777777" w:rsidR="00053DA3" w:rsidRPr="004C3421" w:rsidRDefault="00053DA3" w:rsidP="00A16110">
      <w:pPr>
        <w:numPr>
          <w:ilvl w:val="0"/>
          <w:numId w:val="4"/>
        </w:numPr>
        <w:spacing w:after="120"/>
        <w:ind w:left="425" w:hanging="425"/>
        <w:jc w:val="both"/>
        <w:rPr>
          <w:rFonts w:ascii="Arial" w:eastAsia="Calibri" w:hAnsi="Arial" w:cs="Arial"/>
        </w:rPr>
      </w:pPr>
      <w:r w:rsidRPr="004C3421">
        <w:rPr>
          <w:rFonts w:ascii="Arial" w:eastAsia="Calibri" w:hAnsi="Arial" w:cs="Arial"/>
        </w:rPr>
        <w:t>Zákaz stanovený v Čl. 3 této vyhlášky se nevztahuje na silvestrovské oslavy, které se konají v noci ze dne 31. prosince na 1. ledna každého roku od 14.00 hodin 31. prosince do 03.00 hodin 1. ledna.</w:t>
      </w:r>
    </w:p>
    <w:p w14:paraId="3ED4509D" w14:textId="77777777" w:rsidR="00717A7F" w:rsidRPr="004C3421" w:rsidRDefault="00053DA3" w:rsidP="00A16110">
      <w:pPr>
        <w:pStyle w:val="Odstavecseseznamem"/>
        <w:numPr>
          <w:ilvl w:val="0"/>
          <w:numId w:val="4"/>
        </w:numPr>
        <w:spacing w:after="0"/>
        <w:ind w:left="426" w:hanging="426"/>
        <w:jc w:val="both"/>
        <w:rPr>
          <w:rFonts w:ascii="Arial" w:hAnsi="Arial" w:cs="Arial"/>
          <w:bCs/>
        </w:rPr>
      </w:pPr>
      <w:r w:rsidRPr="004C3421">
        <w:rPr>
          <w:rFonts w:ascii="Arial" w:eastAsia="Calibri" w:hAnsi="Arial" w:cs="Arial"/>
        </w:rPr>
        <w:t xml:space="preserve">Zákaz stanovený v Čl. 3 této vyhlášky se nevztahuje na </w:t>
      </w:r>
      <w:r w:rsidR="00956FD2" w:rsidRPr="004C3421">
        <w:rPr>
          <w:rFonts w:ascii="Arial" w:hAnsi="Arial" w:cs="Arial"/>
          <w:bCs/>
        </w:rPr>
        <w:t xml:space="preserve">Císařské putování, Císařské slavnosti, Dětský den, Divadelní slavnosti, </w:t>
      </w:r>
      <w:r w:rsidR="0022022B" w:rsidRPr="004C3421">
        <w:rPr>
          <w:rFonts w:ascii="Arial" w:hAnsi="Arial" w:cs="Arial"/>
          <w:bCs/>
        </w:rPr>
        <w:t>d</w:t>
      </w:r>
      <w:r w:rsidR="00956FD2" w:rsidRPr="004C3421">
        <w:rPr>
          <w:rFonts w:ascii="Arial" w:hAnsi="Arial" w:cs="Arial"/>
          <w:bCs/>
        </w:rPr>
        <w:t>rakiád</w:t>
      </w:r>
      <w:r w:rsidR="0022022B" w:rsidRPr="004C3421">
        <w:rPr>
          <w:rFonts w:ascii="Arial" w:hAnsi="Arial" w:cs="Arial"/>
          <w:bCs/>
        </w:rPr>
        <w:t>y</w:t>
      </w:r>
      <w:r w:rsidR="00956FD2" w:rsidRPr="004C3421">
        <w:rPr>
          <w:rFonts w:ascii="Arial" w:hAnsi="Arial" w:cs="Arial"/>
          <w:bCs/>
        </w:rPr>
        <w:t>, H</w:t>
      </w:r>
      <w:r w:rsidR="00CA36E4" w:rsidRPr="004C3421">
        <w:rPr>
          <w:rFonts w:ascii="Arial" w:hAnsi="Arial" w:cs="Arial"/>
          <w:bCs/>
        </w:rPr>
        <w:t>all</w:t>
      </w:r>
      <w:r w:rsidR="00956FD2" w:rsidRPr="004C3421">
        <w:rPr>
          <w:rFonts w:ascii="Arial" w:hAnsi="Arial" w:cs="Arial"/>
          <w:bCs/>
        </w:rPr>
        <w:t xml:space="preserve">oween, </w:t>
      </w:r>
      <w:r w:rsidR="0022022B" w:rsidRPr="004C3421">
        <w:rPr>
          <w:rFonts w:ascii="Arial" w:hAnsi="Arial" w:cs="Arial"/>
          <w:bCs/>
        </w:rPr>
        <w:t>h</w:t>
      </w:r>
      <w:r w:rsidR="00956FD2" w:rsidRPr="004C3421">
        <w:rPr>
          <w:rFonts w:ascii="Arial" w:hAnsi="Arial" w:cs="Arial"/>
          <w:bCs/>
        </w:rPr>
        <w:t>udební koncert</w:t>
      </w:r>
      <w:r w:rsidR="0022022B" w:rsidRPr="004C3421">
        <w:rPr>
          <w:rFonts w:ascii="Arial" w:hAnsi="Arial" w:cs="Arial"/>
          <w:bCs/>
        </w:rPr>
        <w:t>y</w:t>
      </w:r>
      <w:r w:rsidR="00956FD2" w:rsidRPr="004C3421">
        <w:rPr>
          <w:rFonts w:ascii="Arial" w:hAnsi="Arial" w:cs="Arial"/>
          <w:bCs/>
        </w:rPr>
        <w:t xml:space="preserve">, </w:t>
      </w:r>
      <w:r w:rsidR="0022022B" w:rsidRPr="004C3421">
        <w:rPr>
          <w:rFonts w:ascii="Arial" w:hAnsi="Arial" w:cs="Arial"/>
          <w:bCs/>
        </w:rPr>
        <w:t>c</w:t>
      </w:r>
      <w:r w:rsidR="00956FD2" w:rsidRPr="004C3421">
        <w:rPr>
          <w:rFonts w:ascii="Arial" w:hAnsi="Arial" w:cs="Arial"/>
          <w:bCs/>
        </w:rPr>
        <w:t>hovatelsk</w:t>
      </w:r>
      <w:r w:rsidR="0022022B" w:rsidRPr="004C3421">
        <w:rPr>
          <w:rFonts w:ascii="Arial" w:hAnsi="Arial" w:cs="Arial"/>
          <w:bCs/>
        </w:rPr>
        <w:t>é</w:t>
      </w:r>
      <w:r w:rsidR="00956FD2" w:rsidRPr="004C3421">
        <w:rPr>
          <w:rFonts w:ascii="Arial" w:hAnsi="Arial" w:cs="Arial"/>
          <w:bCs/>
        </w:rPr>
        <w:t xml:space="preserve"> výstav</w:t>
      </w:r>
      <w:r w:rsidR="0022022B" w:rsidRPr="004C3421">
        <w:rPr>
          <w:rFonts w:ascii="Arial" w:hAnsi="Arial" w:cs="Arial"/>
          <w:bCs/>
        </w:rPr>
        <w:t>y</w:t>
      </w:r>
      <w:r w:rsidR="00956FD2" w:rsidRPr="004C3421">
        <w:rPr>
          <w:rFonts w:ascii="Arial" w:hAnsi="Arial" w:cs="Arial"/>
          <w:bCs/>
        </w:rPr>
        <w:t xml:space="preserve">, </w:t>
      </w:r>
      <w:r w:rsidR="0022022B" w:rsidRPr="004C3421">
        <w:rPr>
          <w:rFonts w:ascii="Arial" w:hAnsi="Arial" w:cs="Arial"/>
          <w:bCs/>
        </w:rPr>
        <w:t>Mikulášskou nadílku, o</w:t>
      </w:r>
      <w:r w:rsidR="00956FD2" w:rsidRPr="004C3421">
        <w:rPr>
          <w:rFonts w:ascii="Arial" w:hAnsi="Arial" w:cs="Arial"/>
          <w:bCs/>
        </w:rPr>
        <w:t xml:space="preserve">hňostroj, Pálení čarodějnic, </w:t>
      </w:r>
      <w:r w:rsidR="0022022B" w:rsidRPr="004C3421">
        <w:rPr>
          <w:rFonts w:ascii="Arial" w:hAnsi="Arial" w:cs="Arial"/>
          <w:bCs/>
        </w:rPr>
        <w:t>p</w:t>
      </w:r>
      <w:r w:rsidR="00956FD2" w:rsidRPr="004C3421">
        <w:rPr>
          <w:rFonts w:ascii="Arial" w:hAnsi="Arial" w:cs="Arial"/>
          <w:bCs/>
        </w:rPr>
        <w:t xml:space="preserve">outě, Rozsvícení vánočního stromu (advent), </w:t>
      </w:r>
      <w:r w:rsidR="0022022B" w:rsidRPr="004C3421">
        <w:rPr>
          <w:rFonts w:ascii="Arial" w:hAnsi="Arial" w:cs="Arial"/>
          <w:bCs/>
        </w:rPr>
        <w:t>s</w:t>
      </w:r>
      <w:r w:rsidR="00956FD2" w:rsidRPr="004C3421">
        <w:rPr>
          <w:rFonts w:ascii="Arial" w:hAnsi="Arial" w:cs="Arial"/>
          <w:bCs/>
        </w:rPr>
        <w:t>portovní akce, Vánoční trhy, Zákupské slavnosti, Zákupský masopust.</w:t>
      </w:r>
    </w:p>
    <w:p w14:paraId="72257C7C" w14:textId="77777777" w:rsidR="00053DA3" w:rsidRPr="007358C0" w:rsidRDefault="00053DA3" w:rsidP="00A16110">
      <w:pPr>
        <w:pStyle w:val="NormlnsWWW"/>
        <w:spacing w:before="0" w:after="0" w:line="276" w:lineRule="auto"/>
        <w:jc w:val="both"/>
        <w:rPr>
          <w:rFonts w:ascii="Arial" w:hAnsi="Arial" w:cs="Arial"/>
          <w:b/>
        </w:rPr>
      </w:pPr>
      <w:r w:rsidRPr="007358C0">
        <w:rPr>
          <w:rFonts w:ascii="Arial" w:hAnsi="Arial" w:cs="Arial"/>
          <w:color w:val="FF0000"/>
          <w:shd w:val="clear" w:color="auto" w:fill="FFFFFF"/>
        </w:rPr>
        <w:t>.</w:t>
      </w:r>
    </w:p>
    <w:p w14:paraId="23259F01" w14:textId="77777777" w:rsidR="00053DA3" w:rsidRPr="007358C0" w:rsidRDefault="00053DA3" w:rsidP="00A16110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7358C0">
        <w:rPr>
          <w:rFonts w:ascii="Arial" w:eastAsia="Times New Roman" w:hAnsi="Arial" w:cs="Arial"/>
          <w:b/>
          <w:sz w:val="24"/>
          <w:szCs w:val="24"/>
        </w:rPr>
        <w:t>Čl. 5</w:t>
      </w:r>
    </w:p>
    <w:p w14:paraId="7551A9E0" w14:textId="77777777" w:rsidR="00053DA3" w:rsidRPr="007358C0" w:rsidRDefault="00053DA3" w:rsidP="00A16110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358C0">
        <w:rPr>
          <w:rFonts w:ascii="Arial" w:eastAsia="Times New Roman" w:hAnsi="Arial" w:cs="Arial"/>
          <w:b/>
          <w:sz w:val="24"/>
          <w:szCs w:val="24"/>
        </w:rPr>
        <w:t>Závěrečná ustanovení</w:t>
      </w:r>
    </w:p>
    <w:p w14:paraId="58EEDF46" w14:textId="77777777" w:rsidR="00053DA3" w:rsidRPr="007358C0" w:rsidRDefault="00053DA3" w:rsidP="00A16110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EF865A8" w14:textId="37B2CCB3" w:rsidR="00053DA3" w:rsidRPr="00B07814" w:rsidRDefault="00053DA3" w:rsidP="00A16110">
      <w:pPr>
        <w:pStyle w:val="Seznamoslovan"/>
        <w:spacing w:after="120" w:line="276" w:lineRule="auto"/>
        <w:ind w:hanging="425"/>
        <w:rPr>
          <w:rFonts w:ascii="Arial" w:hAnsi="Arial" w:cs="Arial"/>
          <w:sz w:val="22"/>
          <w:szCs w:val="22"/>
        </w:rPr>
      </w:pPr>
      <w:r w:rsidRPr="00B0781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B07814">
        <w:rPr>
          <w:rFonts w:ascii="Arial" w:hAnsi="Arial" w:cs="Arial"/>
          <w:sz w:val="22"/>
          <w:szCs w:val="22"/>
        </w:rPr>
        <w:t>3</w:t>
      </w:r>
      <w:r w:rsidR="009C764D" w:rsidRPr="00B07814">
        <w:rPr>
          <w:rFonts w:ascii="Arial" w:hAnsi="Arial" w:cs="Arial"/>
          <w:sz w:val="22"/>
          <w:szCs w:val="22"/>
        </w:rPr>
        <w:t>/201</w:t>
      </w:r>
      <w:r w:rsidR="00B07814">
        <w:rPr>
          <w:rFonts w:ascii="Arial" w:hAnsi="Arial" w:cs="Arial"/>
          <w:sz w:val="22"/>
          <w:szCs w:val="22"/>
        </w:rPr>
        <w:t>5</w:t>
      </w:r>
      <w:r w:rsidRPr="00B07814">
        <w:rPr>
          <w:rFonts w:ascii="Arial" w:hAnsi="Arial" w:cs="Arial"/>
          <w:sz w:val="22"/>
          <w:szCs w:val="22"/>
        </w:rPr>
        <w:t xml:space="preserve"> </w:t>
      </w:r>
      <w:r w:rsidR="009C764D" w:rsidRPr="00B07814">
        <w:rPr>
          <w:rFonts w:ascii="Arial" w:hAnsi="Arial" w:cs="Arial"/>
          <w:sz w:val="22"/>
          <w:szCs w:val="22"/>
        </w:rPr>
        <w:t>o zákazu konzumace alkoholických nápojů na veřejných prostranstvích</w:t>
      </w:r>
      <w:r w:rsidR="00CA5D1D" w:rsidRPr="00B07814">
        <w:rPr>
          <w:rFonts w:ascii="Arial" w:hAnsi="Arial" w:cs="Arial"/>
          <w:sz w:val="22"/>
          <w:szCs w:val="22"/>
        </w:rPr>
        <w:t xml:space="preserve"> ze dne </w:t>
      </w:r>
      <w:r w:rsidR="00B07814">
        <w:rPr>
          <w:rFonts w:ascii="Arial" w:hAnsi="Arial" w:cs="Arial"/>
          <w:sz w:val="22"/>
          <w:szCs w:val="22"/>
        </w:rPr>
        <w:t>30</w:t>
      </w:r>
      <w:r w:rsidR="009C764D" w:rsidRPr="00B07814">
        <w:rPr>
          <w:rFonts w:ascii="Arial" w:hAnsi="Arial" w:cs="Arial"/>
          <w:sz w:val="22"/>
          <w:szCs w:val="22"/>
        </w:rPr>
        <w:t xml:space="preserve">. </w:t>
      </w:r>
      <w:r w:rsidR="00B07814">
        <w:rPr>
          <w:rFonts w:ascii="Arial" w:hAnsi="Arial" w:cs="Arial"/>
          <w:sz w:val="22"/>
          <w:szCs w:val="22"/>
        </w:rPr>
        <w:t>září 2015</w:t>
      </w:r>
      <w:r w:rsidRPr="00B07814">
        <w:rPr>
          <w:rFonts w:ascii="Arial" w:hAnsi="Arial" w:cs="Arial"/>
          <w:sz w:val="22"/>
          <w:szCs w:val="22"/>
        </w:rPr>
        <w:t>.</w:t>
      </w:r>
    </w:p>
    <w:p w14:paraId="7A60C714" w14:textId="363B75A4" w:rsidR="00053DA3" w:rsidRPr="00B07814" w:rsidRDefault="00053DA3" w:rsidP="00A16110">
      <w:pPr>
        <w:pStyle w:val="Seznamoslovan"/>
        <w:spacing w:line="276" w:lineRule="auto"/>
        <w:rPr>
          <w:rFonts w:ascii="Arial" w:hAnsi="Arial" w:cs="Arial"/>
          <w:sz w:val="22"/>
          <w:szCs w:val="22"/>
        </w:rPr>
      </w:pPr>
      <w:r w:rsidRPr="00B07814">
        <w:rPr>
          <w:rFonts w:ascii="Arial" w:hAnsi="Arial" w:cs="Arial"/>
          <w:bCs/>
          <w:sz w:val="22"/>
          <w:szCs w:val="22"/>
          <w:lang w:eastAsia="cs-CZ"/>
        </w:rPr>
        <w:t xml:space="preserve">Tato vyhláška nabývá účinnosti </w:t>
      </w:r>
      <w:r w:rsidR="00ED1CDD">
        <w:rPr>
          <w:rFonts w:ascii="Arial" w:hAnsi="Arial" w:cs="Arial"/>
          <w:bCs/>
          <w:sz w:val="22"/>
          <w:szCs w:val="22"/>
          <w:lang w:eastAsia="cs-CZ"/>
        </w:rPr>
        <w:t xml:space="preserve">počátkem patnáctého dne následujícího po dni </w:t>
      </w:r>
      <w:r w:rsidRPr="00B07814">
        <w:rPr>
          <w:rFonts w:ascii="Arial" w:hAnsi="Arial" w:cs="Arial"/>
          <w:bCs/>
          <w:sz w:val="22"/>
          <w:szCs w:val="22"/>
          <w:lang w:eastAsia="cs-CZ"/>
        </w:rPr>
        <w:t>jejího vyhlášení.</w:t>
      </w:r>
    </w:p>
    <w:p w14:paraId="6DC23D6E" w14:textId="77777777" w:rsidR="00686687" w:rsidRPr="00B07814" w:rsidRDefault="00686687" w:rsidP="00A16110">
      <w:pPr>
        <w:pStyle w:val="Seznamoslovan"/>
        <w:numPr>
          <w:ilvl w:val="0"/>
          <w:numId w:val="0"/>
        </w:numPr>
        <w:spacing w:line="276" w:lineRule="auto"/>
        <w:ind w:left="425" w:hanging="424"/>
        <w:rPr>
          <w:rFonts w:ascii="Arial" w:hAnsi="Arial" w:cs="Arial"/>
          <w:sz w:val="22"/>
          <w:szCs w:val="22"/>
        </w:rPr>
      </w:pPr>
    </w:p>
    <w:p w14:paraId="4FBB85D8" w14:textId="77777777" w:rsidR="0025192F" w:rsidRPr="007358C0" w:rsidRDefault="0025192F" w:rsidP="00686687">
      <w:pPr>
        <w:pStyle w:val="Seznamoslovan"/>
        <w:numPr>
          <w:ilvl w:val="0"/>
          <w:numId w:val="0"/>
        </w:numPr>
        <w:ind w:left="425" w:hanging="424"/>
        <w:rPr>
          <w:rFonts w:ascii="Arial" w:hAnsi="Arial" w:cs="Arial"/>
        </w:rPr>
      </w:pPr>
    </w:p>
    <w:p w14:paraId="680A8410" w14:textId="77777777" w:rsidR="0025192F" w:rsidRPr="007358C0" w:rsidRDefault="0025192F" w:rsidP="00686687">
      <w:pPr>
        <w:pStyle w:val="Seznamoslovan"/>
        <w:numPr>
          <w:ilvl w:val="0"/>
          <w:numId w:val="0"/>
        </w:numPr>
        <w:ind w:left="425" w:hanging="424"/>
        <w:rPr>
          <w:rFonts w:ascii="Arial" w:hAnsi="Arial" w:cs="Arial"/>
        </w:rPr>
      </w:pPr>
    </w:p>
    <w:p w14:paraId="41FA10AC" w14:textId="77777777" w:rsidR="006A2457" w:rsidRPr="0062486B" w:rsidRDefault="006A2457" w:rsidP="006A2457">
      <w:pPr>
        <w:keepNext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2486B">
        <w:rPr>
          <w:rFonts w:ascii="Arial" w:hAnsi="Arial" w:cs="Arial"/>
        </w:rPr>
        <w:t>………………………………</w:t>
      </w:r>
    </w:p>
    <w:p w14:paraId="315E6AC8" w14:textId="77777777" w:rsidR="006A2457" w:rsidRPr="0062486B" w:rsidRDefault="006A2457" w:rsidP="006A2457">
      <w:pPr>
        <w:keepNext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Ing. Radek Lípa,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Bc. Iva </w:t>
      </w:r>
      <w:proofErr w:type="spellStart"/>
      <w:r>
        <w:rPr>
          <w:rFonts w:ascii="Arial" w:hAnsi="Arial" w:cs="Arial"/>
        </w:rPr>
        <w:t>Kreisingerová</w:t>
      </w:r>
      <w:proofErr w:type="spellEnd"/>
      <w:r>
        <w:rPr>
          <w:rFonts w:ascii="Arial" w:hAnsi="Arial" w:cs="Arial"/>
        </w:rPr>
        <w:t>, v. r.</w:t>
      </w:r>
    </w:p>
    <w:p w14:paraId="0E333B66" w14:textId="77777777" w:rsidR="006A2457" w:rsidRDefault="006A2457" w:rsidP="006A24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62486B">
        <w:rPr>
          <w:rFonts w:ascii="Arial" w:hAnsi="Arial" w:cs="Arial"/>
        </w:rPr>
        <w:t>starosta</w:t>
      </w:r>
      <w:r w:rsidRPr="00735D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</w:t>
      </w:r>
      <w:r w:rsidRPr="0062486B">
        <w:rPr>
          <w:rFonts w:ascii="Arial" w:hAnsi="Arial" w:cs="Arial"/>
        </w:rPr>
        <w:t>ístostarost</w:t>
      </w:r>
      <w:r>
        <w:rPr>
          <w:rFonts w:ascii="Arial" w:hAnsi="Arial" w:cs="Arial"/>
        </w:rPr>
        <w:t xml:space="preserve">a  </w:t>
      </w:r>
      <w:r>
        <w:rPr>
          <w:rFonts w:ascii="Arial" w:hAnsi="Arial" w:cs="Arial"/>
        </w:rPr>
        <w:tab/>
      </w:r>
    </w:p>
    <w:p w14:paraId="5E7A6922" w14:textId="77777777" w:rsidR="006A2457" w:rsidRDefault="006A2457" w:rsidP="006A2457">
      <w:pPr>
        <w:keepNext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7952D3C" w14:textId="77777777" w:rsidR="0025192F" w:rsidRPr="007358C0" w:rsidRDefault="0025192F" w:rsidP="00686687">
      <w:pPr>
        <w:pStyle w:val="Seznamoslovan"/>
        <w:numPr>
          <w:ilvl w:val="0"/>
          <w:numId w:val="0"/>
        </w:numPr>
        <w:ind w:left="425" w:hanging="424"/>
        <w:rPr>
          <w:rFonts w:ascii="Arial" w:hAnsi="Arial" w:cs="Arial"/>
        </w:rPr>
      </w:pPr>
    </w:p>
    <w:p w14:paraId="70F53594" w14:textId="77777777" w:rsidR="0025192F" w:rsidRPr="007358C0" w:rsidRDefault="0025192F" w:rsidP="00686687">
      <w:pPr>
        <w:pStyle w:val="Seznamoslovan"/>
        <w:numPr>
          <w:ilvl w:val="0"/>
          <w:numId w:val="0"/>
        </w:numPr>
        <w:ind w:left="425" w:hanging="424"/>
        <w:rPr>
          <w:rFonts w:ascii="Arial" w:hAnsi="Arial" w:cs="Arial"/>
        </w:rPr>
      </w:pPr>
    </w:p>
    <w:p w14:paraId="0A15665B" w14:textId="77777777" w:rsidR="0025192F" w:rsidRPr="007358C0" w:rsidRDefault="0025192F" w:rsidP="00686687">
      <w:pPr>
        <w:pStyle w:val="Seznamoslovan"/>
        <w:numPr>
          <w:ilvl w:val="0"/>
          <w:numId w:val="0"/>
        </w:numPr>
        <w:ind w:left="425" w:hanging="424"/>
        <w:rPr>
          <w:rFonts w:ascii="Arial" w:hAnsi="Arial" w:cs="Arial"/>
        </w:rPr>
      </w:pPr>
    </w:p>
    <w:p w14:paraId="720460A3" w14:textId="77777777" w:rsidR="0025192F" w:rsidRPr="007358C0" w:rsidRDefault="0025192F" w:rsidP="00686687">
      <w:pPr>
        <w:pStyle w:val="Seznamoslovan"/>
        <w:numPr>
          <w:ilvl w:val="0"/>
          <w:numId w:val="0"/>
        </w:numPr>
        <w:ind w:left="425" w:hanging="424"/>
        <w:rPr>
          <w:rFonts w:ascii="Arial" w:hAnsi="Arial" w:cs="Arial"/>
        </w:rPr>
      </w:pPr>
    </w:p>
    <w:p w14:paraId="75B8FAE8" w14:textId="77777777" w:rsidR="00B07814" w:rsidRDefault="00B07814" w:rsidP="00CA5D1D">
      <w:pPr>
        <w:tabs>
          <w:tab w:val="left" w:pos="1080"/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623B306" w14:textId="77777777" w:rsidR="00B07814" w:rsidRDefault="00B07814" w:rsidP="00CA5D1D">
      <w:pPr>
        <w:tabs>
          <w:tab w:val="left" w:pos="1080"/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DE6FF9C" w14:textId="77777777" w:rsidR="00B07814" w:rsidRDefault="00B07814" w:rsidP="00CA5D1D">
      <w:pPr>
        <w:tabs>
          <w:tab w:val="left" w:pos="1080"/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B07814" w:rsidSect="00F46273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5395B4" w14:textId="77777777" w:rsidR="00571CE7" w:rsidRDefault="00571CE7" w:rsidP="00053DA3">
      <w:pPr>
        <w:spacing w:after="0" w:line="240" w:lineRule="auto"/>
      </w:pPr>
      <w:r>
        <w:separator/>
      </w:r>
    </w:p>
  </w:endnote>
  <w:endnote w:type="continuationSeparator" w:id="0">
    <w:p w14:paraId="6B02AC58" w14:textId="77777777" w:rsidR="00571CE7" w:rsidRDefault="00571CE7" w:rsidP="00053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92FF0C" w14:textId="77777777" w:rsidR="00571CE7" w:rsidRDefault="00571CE7" w:rsidP="00053DA3">
      <w:pPr>
        <w:spacing w:after="0" w:line="240" w:lineRule="auto"/>
      </w:pPr>
      <w:r>
        <w:separator/>
      </w:r>
    </w:p>
  </w:footnote>
  <w:footnote w:type="continuationSeparator" w:id="0">
    <w:p w14:paraId="6ED40BF0" w14:textId="77777777" w:rsidR="00571CE7" w:rsidRDefault="00571CE7" w:rsidP="00053DA3">
      <w:pPr>
        <w:spacing w:after="0" w:line="240" w:lineRule="auto"/>
      </w:pPr>
      <w:r>
        <w:continuationSeparator/>
      </w:r>
    </w:p>
  </w:footnote>
  <w:footnote w:id="1">
    <w:p w14:paraId="6D026EBD" w14:textId="71236187" w:rsidR="00FC6729" w:rsidRPr="00D6013C" w:rsidRDefault="00FC6729" w:rsidP="00D6013C">
      <w:pPr>
        <w:pStyle w:val="Textpoznpodarou"/>
        <w:spacing w:after="40"/>
        <w:rPr>
          <w:sz w:val="16"/>
          <w:szCs w:val="16"/>
        </w:rPr>
      </w:pPr>
      <w:r w:rsidRPr="00D6013C">
        <w:rPr>
          <w:rStyle w:val="Znakapoznpodarou"/>
          <w:rFonts w:ascii="Times New Roman" w:hAnsi="Times New Roman"/>
          <w:sz w:val="16"/>
          <w:szCs w:val="16"/>
        </w:rPr>
        <w:footnoteRef/>
      </w:r>
      <w:r w:rsidRPr="00D6013C">
        <w:rPr>
          <w:rFonts w:ascii="Times New Roman" w:hAnsi="Times New Roman" w:cs="Times New Roman"/>
          <w:sz w:val="16"/>
          <w:szCs w:val="16"/>
          <w:vertAlign w:val="superscript"/>
        </w:rPr>
        <w:t>)</w:t>
      </w:r>
      <w:r w:rsidRPr="00D6013C">
        <w:rPr>
          <w:rFonts w:ascii="Times New Roman" w:hAnsi="Times New Roman" w:cs="Times New Roman"/>
          <w:sz w:val="16"/>
          <w:szCs w:val="16"/>
        </w:rPr>
        <w:t xml:space="preserve"> § 34 zákona č. 128/2000 Sb., o obcích (obecní zřízení), ve znění pozdějších předpisů</w:t>
      </w:r>
    </w:p>
  </w:footnote>
  <w:footnote w:id="2">
    <w:p w14:paraId="55B165A7" w14:textId="2AFB36CA" w:rsidR="00D6013C" w:rsidRDefault="00D6013C" w:rsidP="005F25E0">
      <w:pPr>
        <w:pStyle w:val="Textpoznpodarou"/>
        <w:spacing w:after="40"/>
      </w:pPr>
      <w:r w:rsidRPr="00D6013C">
        <w:rPr>
          <w:rStyle w:val="Znakapoznpodarou"/>
          <w:rFonts w:ascii="Times New Roman" w:hAnsi="Times New Roman"/>
          <w:sz w:val="16"/>
          <w:szCs w:val="16"/>
        </w:rPr>
        <w:footnoteRef/>
      </w:r>
      <w:r w:rsidRPr="00D6013C">
        <w:rPr>
          <w:rFonts w:ascii="Times New Roman" w:hAnsi="Times New Roman" w:cs="Times New Roman"/>
          <w:sz w:val="16"/>
          <w:szCs w:val="16"/>
          <w:vertAlign w:val="superscript"/>
        </w:rPr>
        <w:t>)</w:t>
      </w:r>
      <w:r w:rsidRPr="00D6013C">
        <w:rPr>
          <w:rFonts w:ascii="Times New Roman" w:hAnsi="Times New Roman" w:cs="Times New Roman"/>
          <w:sz w:val="16"/>
          <w:szCs w:val="16"/>
        </w:rPr>
        <w:t xml:space="preserve"> § 2 písm. f) zákona č. 65/2017 Sb., o ochraně zdraví před škodlivými účinky návykových látek, ve znění pozdějších předpisů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A51D50"/>
    <w:multiLevelType w:val="hybridMultilevel"/>
    <w:tmpl w:val="260A9EA4"/>
    <w:lvl w:ilvl="0" w:tplc="9FEA4E04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  <w:b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40406"/>
    <w:multiLevelType w:val="hybridMultilevel"/>
    <w:tmpl w:val="6396F398"/>
    <w:lvl w:ilvl="0" w:tplc="9F46C9B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30C2EDA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C116CA0"/>
    <w:multiLevelType w:val="hybridMultilevel"/>
    <w:tmpl w:val="152CB0EE"/>
    <w:lvl w:ilvl="0" w:tplc="6582A1D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4CC3228"/>
    <w:multiLevelType w:val="hybridMultilevel"/>
    <w:tmpl w:val="1FB26D32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093772B"/>
    <w:multiLevelType w:val="hybridMultilevel"/>
    <w:tmpl w:val="8D4E7E26"/>
    <w:lvl w:ilvl="0" w:tplc="2B4A366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E7848"/>
    <w:multiLevelType w:val="hybridMultilevel"/>
    <w:tmpl w:val="3246F9D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22137FF"/>
    <w:multiLevelType w:val="hybridMultilevel"/>
    <w:tmpl w:val="F01C2456"/>
    <w:lvl w:ilvl="0" w:tplc="682250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0E53369"/>
    <w:multiLevelType w:val="hybridMultilevel"/>
    <w:tmpl w:val="ECFACBBA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F6253"/>
    <w:multiLevelType w:val="hybridMultilevel"/>
    <w:tmpl w:val="D59090F0"/>
    <w:lvl w:ilvl="0" w:tplc="BA2E216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8BD1F42"/>
    <w:multiLevelType w:val="hybridMultilevel"/>
    <w:tmpl w:val="6E58C544"/>
    <w:lvl w:ilvl="0" w:tplc="682250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5D57806"/>
    <w:multiLevelType w:val="hybridMultilevel"/>
    <w:tmpl w:val="A31ABA64"/>
    <w:lvl w:ilvl="0" w:tplc="3F389424">
      <w:start w:val="1"/>
      <w:numFmt w:val="decimal"/>
      <w:pStyle w:val="Seznamoslovan"/>
      <w:lvlText w:val="(%1)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715D4663"/>
    <w:multiLevelType w:val="hybridMultilevel"/>
    <w:tmpl w:val="0D329538"/>
    <w:lvl w:ilvl="0" w:tplc="682250C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C384709"/>
    <w:multiLevelType w:val="hybridMultilevel"/>
    <w:tmpl w:val="AD24D4A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052454">
    <w:abstractNumId w:val="8"/>
  </w:num>
  <w:num w:numId="2" w16cid:durableId="1158887566">
    <w:abstractNumId w:val="6"/>
  </w:num>
  <w:num w:numId="3" w16cid:durableId="1515921151">
    <w:abstractNumId w:val="10"/>
  </w:num>
  <w:num w:numId="4" w16cid:durableId="1351376251">
    <w:abstractNumId w:val="2"/>
  </w:num>
  <w:num w:numId="5" w16cid:durableId="1192496525">
    <w:abstractNumId w:val="12"/>
  </w:num>
  <w:num w:numId="6" w16cid:durableId="94450370">
    <w:abstractNumId w:val="9"/>
  </w:num>
  <w:num w:numId="7" w16cid:durableId="1848640371">
    <w:abstractNumId w:val="1"/>
  </w:num>
  <w:num w:numId="8" w16cid:durableId="1585411401">
    <w:abstractNumId w:val="5"/>
  </w:num>
  <w:num w:numId="9" w16cid:durableId="781917692">
    <w:abstractNumId w:val="0"/>
  </w:num>
  <w:num w:numId="10" w16cid:durableId="474225508">
    <w:abstractNumId w:val="11"/>
  </w:num>
  <w:num w:numId="11" w16cid:durableId="1460535377">
    <w:abstractNumId w:val="3"/>
  </w:num>
  <w:num w:numId="12" w16cid:durableId="203254458">
    <w:abstractNumId w:val="4"/>
  </w:num>
  <w:num w:numId="13" w16cid:durableId="10794745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DA3"/>
    <w:rsid w:val="00014B57"/>
    <w:rsid w:val="0003214D"/>
    <w:rsid w:val="00053DA3"/>
    <w:rsid w:val="001234B8"/>
    <w:rsid w:val="00144221"/>
    <w:rsid w:val="001815F7"/>
    <w:rsid w:val="001B5F1A"/>
    <w:rsid w:val="001F0A40"/>
    <w:rsid w:val="0022022B"/>
    <w:rsid w:val="00222572"/>
    <w:rsid w:val="00223CA0"/>
    <w:rsid w:val="0025192F"/>
    <w:rsid w:val="00265CDD"/>
    <w:rsid w:val="00285C76"/>
    <w:rsid w:val="00291EAB"/>
    <w:rsid w:val="002A2F6E"/>
    <w:rsid w:val="002B3B6B"/>
    <w:rsid w:val="0032118F"/>
    <w:rsid w:val="00345DBF"/>
    <w:rsid w:val="003A0B00"/>
    <w:rsid w:val="003A4AA0"/>
    <w:rsid w:val="004C026D"/>
    <w:rsid w:val="004C0D7A"/>
    <w:rsid w:val="004C3421"/>
    <w:rsid w:val="004E046A"/>
    <w:rsid w:val="004E2A7C"/>
    <w:rsid w:val="004E5F5A"/>
    <w:rsid w:val="00524709"/>
    <w:rsid w:val="00571CE7"/>
    <w:rsid w:val="005C1877"/>
    <w:rsid w:val="005F25E0"/>
    <w:rsid w:val="006476EF"/>
    <w:rsid w:val="006626AD"/>
    <w:rsid w:val="00686493"/>
    <w:rsid w:val="00686687"/>
    <w:rsid w:val="00691C2F"/>
    <w:rsid w:val="006A2457"/>
    <w:rsid w:val="006C71F6"/>
    <w:rsid w:val="00713111"/>
    <w:rsid w:val="00717A7F"/>
    <w:rsid w:val="007358C0"/>
    <w:rsid w:val="00756207"/>
    <w:rsid w:val="007B0C7D"/>
    <w:rsid w:val="007B5E04"/>
    <w:rsid w:val="007D1D67"/>
    <w:rsid w:val="007D52AC"/>
    <w:rsid w:val="007D5C6A"/>
    <w:rsid w:val="007F1834"/>
    <w:rsid w:val="007F5997"/>
    <w:rsid w:val="00825C99"/>
    <w:rsid w:val="008306DF"/>
    <w:rsid w:val="00846B4F"/>
    <w:rsid w:val="008A7011"/>
    <w:rsid w:val="008C4BD3"/>
    <w:rsid w:val="008D1B7F"/>
    <w:rsid w:val="00940FD5"/>
    <w:rsid w:val="00956FD2"/>
    <w:rsid w:val="009A51D9"/>
    <w:rsid w:val="009C764D"/>
    <w:rsid w:val="00A16110"/>
    <w:rsid w:val="00A24EE9"/>
    <w:rsid w:val="00A43DDC"/>
    <w:rsid w:val="00A50A87"/>
    <w:rsid w:val="00A62D06"/>
    <w:rsid w:val="00AA6E42"/>
    <w:rsid w:val="00B07814"/>
    <w:rsid w:val="00B43F3E"/>
    <w:rsid w:val="00B871FA"/>
    <w:rsid w:val="00BA7465"/>
    <w:rsid w:val="00BC6A44"/>
    <w:rsid w:val="00BD0AA3"/>
    <w:rsid w:val="00BD0B92"/>
    <w:rsid w:val="00BE7D85"/>
    <w:rsid w:val="00C04312"/>
    <w:rsid w:val="00C15DFD"/>
    <w:rsid w:val="00C65BD9"/>
    <w:rsid w:val="00C74088"/>
    <w:rsid w:val="00CA36E4"/>
    <w:rsid w:val="00CA5D1D"/>
    <w:rsid w:val="00D022A6"/>
    <w:rsid w:val="00D6013C"/>
    <w:rsid w:val="00DA5FA8"/>
    <w:rsid w:val="00DE1901"/>
    <w:rsid w:val="00E660BF"/>
    <w:rsid w:val="00E82548"/>
    <w:rsid w:val="00ED1CDD"/>
    <w:rsid w:val="00ED3867"/>
    <w:rsid w:val="00F17599"/>
    <w:rsid w:val="00F5463D"/>
    <w:rsid w:val="00FC6729"/>
    <w:rsid w:val="00FE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5EE2C"/>
  <w15:docId w15:val="{3D1AB15C-F812-4AFD-A6FC-95679BF4E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53DA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53DA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053DA3"/>
    <w:rPr>
      <w:rFonts w:cs="Times New Roman"/>
      <w:vertAlign w:val="superscript"/>
    </w:rPr>
  </w:style>
  <w:style w:type="paragraph" w:customStyle="1" w:styleId="NormlnsWWW">
    <w:name w:val="Normální (síť WWW)"/>
    <w:basedOn w:val="Normln"/>
    <w:uiPriority w:val="99"/>
    <w:rsid w:val="00053DA3"/>
    <w:pPr>
      <w:suppressAutoHyphens/>
      <w:spacing w:before="280" w:after="280" w:line="240" w:lineRule="auto"/>
    </w:pPr>
    <w:rPr>
      <w:rFonts w:ascii="Arial Unicode MS" w:eastAsia="Times New Roman" w:hAnsi="Arial Unicode MS" w:cs="Arial Unicode MS"/>
      <w:sz w:val="24"/>
      <w:szCs w:val="24"/>
      <w:lang w:eastAsia="ar-SA"/>
    </w:rPr>
  </w:style>
  <w:style w:type="paragraph" w:customStyle="1" w:styleId="Seznamoslovan">
    <w:name w:val="Seznam očíslovaný"/>
    <w:basedOn w:val="Zkladntext"/>
    <w:uiPriority w:val="99"/>
    <w:rsid w:val="00053DA3"/>
    <w:pPr>
      <w:widowControl w:val="0"/>
      <w:numPr>
        <w:numId w:val="3"/>
      </w:numPr>
      <w:suppressAutoHyphens/>
      <w:spacing w:after="113" w:line="240" w:lineRule="auto"/>
      <w:ind w:left="425" w:hanging="424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table" w:styleId="Mkatabulky">
    <w:name w:val="Table Grid"/>
    <w:basedOn w:val="Normlntabulka"/>
    <w:uiPriority w:val="59"/>
    <w:rsid w:val="00053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53DA3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053D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53DA3"/>
  </w:style>
  <w:style w:type="paragraph" w:styleId="Textbubliny">
    <w:name w:val="Balloon Text"/>
    <w:basedOn w:val="Normln"/>
    <w:link w:val="TextbublinyChar"/>
    <w:uiPriority w:val="99"/>
    <w:semiHidden/>
    <w:unhideWhenUsed/>
    <w:rsid w:val="00251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19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77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497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Marie Svobodová</cp:lastModifiedBy>
  <cp:revision>4</cp:revision>
  <cp:lastPrinted>2015-10-02T08:01:00Z</cp:lastPrinted>
  <dcterms:created xsi:type="dcterms:W3CDTF">2024-11-15T07:01:00Z</dcterms:created>
  <dcterms:modified xsi:type="dcterms:W3CDTF">2024-11-15T07:03:00Z</dcterms:modified>
</cp:coreProperties>
</file>