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6EFB9" w14:textId="77777777" w:rsidR="00AA44BE" w:rsidRPr="00AA44BE" w:rsidRDefault="00AA44BE" w:rsidP="00AA44BE">
      <w:pPr>
        <w:keepNext/>
        <w:suppressAutoHyphens/>
        <w:autoSpaceDN w:val="0"/>
        <w:spacing w:before="240" w:after="120" w:line="240" w:lineRule="auto"/>
        <w:jc w:val="center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AA44BE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Obec Horní Beřkovice</w:t>
      </w:r>
      <w:r w:rsidRPr="00AA44BE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Zastupitelstvo obce Horní Beřkovice</w:t>
      </w:r>
    </w:p>
    <w:p w14:paraId="547766F2" w14:textId="77777777" w:rsidR="00AA44BE" w:rsidRPr="00AA44BE" w:rsidRDefault="00AA44BE" w:rsidP="00AA44BE">
      <w:pPr>
        <w:keepNext/>
        <w:suppressAutoHyphens/>
        <w:autoSpaceDN w:val="0"/>
        <w:spacing w:before="238" w:after="238" w:line="240" w:lineRule="auto"/>
        <w:jc w:val="center"/>
        <w:outlineLvl w:val="0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AA44BE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Obecně závazná vyhláška obce Horní Beřkovice</w:t>
      </w:r>
      <w:r w:rsidRPr="00AA44BE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o stanovení koeficientu daně z nemovitých věcí</w:t>
      </w:r>
    </w:p>
    <w:p w14:paraId="03B52A7C" w14:textId="77777777" w:rsidR="00AA44BE" w:rsidRPr="00AA44BE" w:rsidRDefault="00AA44BE" w:rsidP="00AA44BE">
      <w:pPr>
        <w:suppressAutoHyphens/>
        <w:autoSpaceDN w:val="0"/>
        <w:spacing w:before="62"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AA44BE">
        <w:rPr>
          <w:rFonts w:ascii="Arial" w:eastAsia="Arial" w:hAnsi="Arial" w:cs="Arial"/>
          <w:kern w:val="3"/>
          <w:lang w:eastAsia="zh-CN" w:bidi="hi-IN"/>
          <w14:ligatures w14:val="none"/>
        </w:rPr>
        <w:t>Zastupitelstvo obce Horní Beřkovice se na svém zasedání dne 19. srpna 2026 usneslo vydat na základě § 12 odst. 1 písm. a) bod 1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582B7EFC" w14:textId="77777777" w:rsidR="00AA44BE" w:rsidRPr="00AA44BE" w:rsidRDefault="00AA44BE" w:rsidP="00AA44BE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AA44BE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1</w:t>
      </w:r>
      <w:r w:rsidRPr="00AA44BE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Úvodní ustanovení</w:t>
      </w:r>
    </w:p>
    <w:p w14:paraId="17B35C45" w14:textId="77777777" w:rsidR="00AA44BE" w:rsidRPr="00AA44BE" w:rsidRDefault="00AA44BE" w:rsidP="00AA44BE">
      <w:p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AA44BE">
        <w:rPr>
          <w:rFonts w:ascii="Arial" w:eastAsia="Arial" w:hAnsi="Arial" w:cs="Arial"/>
          <w:kern w:val="3"/>
          <w:lang w:eastAsia="zh-CN" w:bidi="hi-IN"/>
          <w14:ligatures w14:val="none"/>
        </w:rPr>
        <w:t>Obec Horní Beřkovice touto vyhláškou stanovuje místní koeficient pro obec.</w:t>
      </w:r>
    </w:p>
    <w:p w14:paraId="56E78AEC" w14:textId="77777777" w:rsidR="00AA44BE" w:rsidRPr="00AA44BE" w:rsidRDefault="00AA44BE" w:rsidP="00AA44BE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AA44BE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2</w:t>
      </w:r>
      <w:r w:rsidRPr="00AA44BE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Místní koeficient pro obec</w:t>
      </w:r>
    </w:p>
    <w:p w14:paraId="0BC960FF" w14:textId="77777777" w:rsidR="00AA44BE" w:rsidRPr="00AA44BE" w:rsidRDefault="00AA44BE" w:rsidP="00AA44BE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AA44BE">
        <w:rPr>
          <w:rFonts w:ascii="Arial" w:eastAsia="Arial" w:hAnsi="Arial" w:cs="Arial"/>
          <w:kern w:val="3"/>
          <w:lang w:eastAsia="zh-CN" w:bidi="hi-IN"/>
          <w14:ligatures w14:val="none"/>
        </w:rPr>
        <w:t>Obec Horní Beřkovice stanovuje místní koeficient pro obec ve výši 2.</w:t>
      </w:r>
    </w:p>
    <w:p w14:paraId="479AC145" w14:textId="77777777" w:rsidR="00AA44BE" w:rsidRPr="00AA44BE" w:rsidRDefault="00AA44BE" w:rsidP="00AA44BE">
      <w:pPr>
        <w:numPr>
          <w:ilvl w:val="0"/>
          <w:numId w:val="2"/>
        </w:num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AA44BE">
        <w:rPr>
          <w:rFonts w:ascii="Arial" w:eastAsia="Arial" w:hAnsi="Arial" w:cs="Arial"/>
          <w:kern w:val="3"/>
          <w:lang w:eastAsia="zh-CN" w:bidi="hi-IN"/>
          <w14:ligatures w14:val="none"/>
        </w:rPr>
        <w:t>Místní koeficient pro obec se vztahuje na všechny nemovité věci na území celé obce Horní Beřkovice s výjimkou pozemků zařazených do skupiny vybraných zemědělských pozemků, trvalých travních porostů nebo nevyužitelných ostatních ploch</w:t>
      </w:r>
      <w:r w:rsidRPr="00AA44BE">
        <w:rPr>
          <w:rFonts w:ascii="Arial" w:eastAsia="Arial" w:hAnsi="Arial" w:cs="Arial"/>
          <w:kern w:val="3"/>
          <w:vertAlign w:val="superscript"/>
          <w:lang w:eastAsia="zh-CN" w:bidi="hi-IN"/>
          <w14:ligatures w14:val="none"/>
        </w:rPr>
        <w:footnoteReference w:id="1"/>
      </w:r>
      <w:r w:rsidRPr="00AA44BE">
        <w:rPr>
          <w:rFonts w:ascii="Arial" w:eastAsia="Arial" w:hAnsi="Arial" w:cs="Arial"/>
          <w:kern w:val="3"/>
          <w:lang w:eastAsia="zh-CN" w:bidi="hi-IN"/>
          <w14:ligatures w14:val="none"/>
        </w:rPr>
        <w:t>.</w:t>
      </w:r>
    </w:p>
    <w:p w14:paraId="16F55B78" w14:textId="77777777" w:rsidR="00AA44BE" w:rsidRPr="00AA44BE" w:rsidRDefault="00AA44BE" w:rsidP="00AA44BE">
      <w:pPr>
        <w:keepNext/>
        <w:suppressAutoHyphens/>
        <w:autoSpaceDN w:val="0"/>
        <w:spacing w:before="360" w:after="120" w:line="276" w:lineRule="auto"/>
        <w:jc w:val="center"/>
        <w:outlineLvl w:val="1"/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AA44BE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t>Čl. 3</w:t>
      </w:r>
      <w:r w:rsidRPr="00AA44BE">
        <w:rPr>
          <w:rFonts w:ascii="Arial" w:eastAsia="PingFang SC" w:hAnsi="Arial" w:cs="Arial Unicode MS"/>
          <w:b/>
          <w:bCs/>
          <w:kern w:val="3"/>
          <w:sz w:val="24"/>
          <w:szCs w:val="24"/>
          <w:lang w:eastAsia="zh-CN" w:bidi="hi-IN"/>
          <w14:ligatures w14:val="none"/>
        </w:rPr>
        <w:br/>
        <w:t>Účinnost</w:t>
      </w:r>
    </w:p>
    <w:p w14:paraId="5DC2D78B" w14:textId="77777777" w:rsidR="00AA44BE" w:rsidRPr="00AA44BE" w:rsidRDefault="00AA44BE" w:rsidP="00AA44BE">
      <w:pPr>
        <w:tabs>
          <w:tab w:val="left" w:pos="567"/>
        </w:tabs>
        <w:suppressAutoHyphens/>
        <w:autoSpaceDN w:val="0"/>
        <w:spacing w:after="120" w:line="276" w:lineRule="auto"/>
        <w:jc w:val="both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AA44BE">
        <w:rPr>
          <w:rFonts w:ascii="Arial" w:eastAsia="Arial" w:hAnsi="Arial" w:cs="Arial"/>
          <w:kern w:val="3"/>
          <w:lang w:eastAsia="zh-CN" w:bidi="hi-IN"/>
          <w14:ligatures w14:val="none"/>
        </w:rPr>
        <w:t>Tato vyhláška nabývá účinnosti dnem 1. ledna 2027.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AA44BE" w:rsidRPr="00AA44BE" w14:paraId="31A986E5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16D3DE3E" w14:textId="77777777" w:rsidR="00AA44BE" w:rsidRPr="00AA44BE" w:rsidRDefault="00AA44BE" w:rsidP="00AA44B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</w:pPr>
            <w:r w:rsidRPr="00AA44BE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>Zdeněk Antoš v. r.</w:t>
            </w:r>
            <w:r w:rsidRPr="00AA44BE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5901B5D5" w14:textId="77777777" w:rsidR="00AA44BE" w:rsidRPr="00AA44BE" w:rsidRDefault="00AA44BE" w:rsidP="00AA44B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</w:pPr>
            <w:r w:rsidRPr="00AA44BE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 xml:space="preserve">Ing. Jaroslav </w:t>
            </w:r>
            <w:proofErr w:type="spellStart"/>
            <w:r w:rsidRPr="00AA44BE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>Hauptvogel</w:t>
            </w:r>
            <w:proofErr w:type="spellEnd"/>
            <w:r w:rsidRPr="00AA44BE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 xml:space="preserve"> v. r.</w:t>
            </w:r>
            <w:r w:rsidRPr="00AA44BE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br/>
              <w:t xml:space="preserve"> místostarosta</w:t>
            </w:r>
          </w:p>
        </w:tc>
      </w:tr>
      <w:tr w:rsidR="00AA44BE" w:rsidRPr="00AA44BE" w14:paraId="1D2F6C85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FA8C2DA" w14:textId="77777777" w:rsidR="00AA44BE" w:rsidRPr="00AA44BE" w:rsidRDefault="00AA44BE" w:rsidP="00AA44B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</w:pPr>
            <w:r w:rsidRPr="00AA44BE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>Jiří Polák v. r.</w:t>
            </w:r>
            <w:r w:rsidRPr="00AA44BE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br/>
              <w:t xml:space="preserve"> místostarosta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47FFDC" w14:textId="77777777" w:rsidR="00AA44BE" w:rsidRPr="00AA44BE" w:rsidRDefault="00AA44BE" w:rsidP="00AA44B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</w:pPr>
          </w:p>
        </w:tc>
      </w:tr>
    </w:tbl>
    <w:p w14:paraId="3F62FCBD" w14:textId="77777777" w:rsidR="00AA44BE" w:rsidRPr="00AA44BE" w:rsidRDefault="00AA44BE" w:rsidP="00AA44BE">
      <w:pPr>
        <w:suppressAutoHyphens/>
        <w:autoSpaceDN w:val="0"/>
        <w:spacing w:after="0" w:line="240" w:lineRule="auto"/>
        <w:rPr>
          <w:rFonts w:ascii="Liberation Serif" w:eastAsia="Songti SC" w:hAnsi="Liberation Serif" w:cs="Arial Unicode MS"/>
          <w:kern w:val="3"/>
          <w:sz w:val="24"/>
          <w:szCs w:val="24"/>
          <w:lang w:eastAsia="zh-CN" w:bidi="hi-IN"/>
          <w14:ligatures w14:val="none"/>
        </w:rPr>
      </w:pPr>
    </w:p>
    <w:p w14:paraId="72DBA3F4" w14:textId="77777777" w:rsidR="00F41A91" w:rsidRDefault="00F41A91"/>
    <w:sectPr w:rsidR="00F41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8106F" w14:textId="77777777" w:rsidR="008F0470" w:rsidRDefault="008F0470" w:rsidP="00AA44BE">
      <w:pPr>
        <w:spacing w:after="0" w:line="240" w:lineRule="auto"/>
      </w:pPr>
      <w:r>
        <w:separator/>
      </w:r>
    </w:p>
  </w:endnote>
  <w:endnote w:type="continuationSeparator" w:id="0">
    <w:p w14:paraId="6D75BF14" w14:textId="77777777" w:rsidR="008F0470" w:rsidRDefault="008F0470" w:rsidP="00AA4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CF8AC" w14:textId="77777777" w:rsidR="008F0470" w:rsidRDefault="008F0470" w:rsidP="00AA44BE">
      <w:pPr>
        <w:spacing w:after="0" w:line="240" w:lineRule="auto"/>
      </w:pPr>
      <w:r>
        <w:separator/>
      </w:r>
    </w:p>
  </w:footnote>
  <w:footnote w:type="continuationSeparator" w:id="0">
    <w:p w14:paraId="0525A5EF" w14:textId="77777777" w:rsidR="008F0470" w:rsidRDefault="008F0470" w:rsidP="00AA44BE">
      <w:pPr>
        <w:spacing w:after="0" w:line="240" w:lineRule="auto"/>
      </w:pPr>
      <w:r>
        <w:continuationSeparator/>
      </w:r>
    </w:p>
  </w:footnote>
  <w:footnote w:id="1">
    <w:p w14:paraId="5386B101" w14:textId="77777777" w:rsidR="00AA44BE" w:rsidRDefault="00AA44BE" w:rsidP="00AA44BE">
      <w:pPr>
        <w:pStyle w:val="Footnote"/>
      </w:pPr>
      <w:r>
        <w:rPr>
          <w:rStyle w:val="Znakapoznpodarou"/>
        </w:rPr>
        <w:footnoteRef/>
      </w:r>
      <w:r>
        <w:t>§ 12ab odst. 1 a 6 zákona o dani z nemovitých věcí.</w:t>
      </w:r>
    </w:p>
    <w:p w14:paraId="7141651A" w14:textId="77777777" w:rsidR="00AA44BE" w:rsidRDefault="00AA44BE" w:rsidP="00AA44BE"/>
    <w:p w14:paraId="74D08C4E" w14:textId="77777777" w:rsidR="00AA44BE" w:rsidRDefault="00AA44BE" w:rsidP="00AA44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37732"/>
    <w:multiLevelType w:val="multilevel"/>
    <w:tmpl w:val="05087A6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5471765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24514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4BE"/>
    <w:rsid w:val="004711B3"/>
    <w:rsid w:val="00517B88"/>
    <w:rsid w:val="008F0470"/>
    <w:rsid w:val="00AA44BE"/>
    <w:rsid w:val="00F4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ACE60"/>
  <w15:chartTrackingRefBased/>
  <w15:docId w15:val="{A18A867D-7AF8-4E28-B9AE-A29709FA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A4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4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44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4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44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4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4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4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4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44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4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44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44B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44B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44B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44B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44B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44B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4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4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4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4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4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44B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44B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44B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4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44B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44BE"/>
    <w:rPr>
      <w:b/>
      <w:bCs/>
      <w:smallCaps/>
      <w:color w:val="2F5496" w:themeColor="accent1" w:themeShade="BF"/>
      <w:spacing w:val="5"/>
    </w:rPr>
  </w:style>
  <w:style w:type="paragraph" w:customStyle="1" w:styleId="Footnote">
    <w:name w:val="Footnote"/>
    <w:basedOn w:val="Normln"/>
    <w:rsid w:val="00AA44BE"/>
    <w:pPr>
      <w:suppressLineNumbers/>
      <w:suppressAutoHyphens/>
      <w:autoSpaceDN w:val="0"/>
      <w:spacing w:after="0" w:line="240" w:lineRule="auto"/>
      <w:ind w:left="170" w:hanging="170"/>
    </w:pPr>
    <w:rPr>
      <w:rFonts w:ascii="Arial" w:eastAsia="Arial" w:hAnsi="Arial" w:cs="Arial"/>
      <w:kern w:val="3"/>
      <w:sz w:val="18"/>
      <w:szCs w:val="18"/>
      <w:lang w:eastAsia="zh-CN" w:bidi="hi-IN"/>
      <w14:ligatures w14:val="none"/>
    </w:rPr>
  </w:style>
  <w:style w:type="character" w:styleId="Znakapoznpodarou">
    <w:name w:val="footnote reference"/>
    <w:basedOn w:val="Standardnpsmoodstavce"/>
    <w:semiHidden/>
    <w:unhideWhenUsed/>
    <w:rsid w:val="00AA44B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Svádová</dc:creator>
  <cp:keywords/>
  <dc:description/>
  <cp:lastModifiedBy>Svádová</cp:lastModifiedBy>
  <cp:revision>1</cp:revision>
  <dcterms:created xsi:type="dcterms:W3CDTF">2026-09-08T09:25:00Z</dcterms:created>
  <dcterms:modified xsi:type="dcterms:W3CDTF">2026-09-08T09:25:00Z</dcterms:modified>
</cp:coreProperties>
</file>