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Obec Orlovice</w:t>
        <w:br w:type="textWrapping"/>
        <w:t xml:space="preserve">Zastupitelstvo obce Orlovice</w:t>
      </w:r>
    </w:p>
    <w:p w:rsidR="00000000" w:rsidDel="00000000" w:rsidP="00000000" w:rsidRDefault="00000000" w:rsidRPr="00000000" w14:paraId="00000002">
      <w:pPr>
        <w:keepNext w:val="1"/>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238" w:before="238"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Obecně závazná vyhláška obce Orlovice</w:t>
        <w:br w:type="textWrapping"/>
        <w:t xml:space="preserve">o místním poplatku ze psů</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62"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Zastupitelstvo obce Orlovice se na svém zasedání dne </w:t>
      </w:r>
      <w:r w:rsidDel="00000000" w:rsidR="00000000" w:rsidRPr="00000000">
        <w:rPr>
          <w:rFonts w:ascii="Arial" w:cs="Arial" w:eastAsia="Arial" w:hAnsi="Arial"/>
          <w:sz w:val="22"/>
          <w:szCs w:val="22"/>
          <w:rtl w:val="0"/>
        </w:rPr>
        <w:t xml:space="preserve">14</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sz w:val="22"/>
          <w:szCs w:val="22"/>
          <w:rtl w:val="0"/>
        </w:rPr>
        <w:t xml:space="preserve">prosince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000000" w:rsidDel="00000000" w:rsidP="00000000" w:rsidRDefault="00000000" w:rsidRPr="00000000" w14:paraId="00000004">
      <w:pPr>
        <w:keepNext w:val="1"/>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0"/>
        </w:tabs>
        <w:spacing w:after="0" w:before="36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1</w:t>
        <w:br w:type="textWrapping"/>
        <w:t xml:space="preserve">Úvodní ustanovení</w:t>
      </w:r>
    </w:p>
    <w:p w:rsidR="00000000" w:rsidDel="00000000" w:rsidP="00000000" w:rsidRDefault="00000000" w:rsidRPr="00000000" w14:paraId="0000000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Obec Orlovice touto vyhláškou zavádí místní poplatek ze psů (dále jen „poplatek“).</w:t>
      </w:r>
    </w:p>
    <w:p w:rsidR="00000000" w:rsidDel="00000000" w:rsidP="00000000" w:rsidRDefault="00000000" w:rsidRPr="00000000" w14:paraId="0000000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Poplatkovým obdobím poplatku je kalendářní rok</w:t>
      </w:r>
      <w:r w:rsidDel="00000000" w:rsidR="00000000" w:rsidRPr="00000000">
        <w:rPr>
          <w:rFonts w:ascii="Arial" w:cs="Arial" w:eastAsia="Arial" w:hAnsi="Arial"/>
          <w:b w:val="0"/>
          <w:i w:val="0"/>
          <w:smallCaps w:val="0"/>
          <w:strike w:val="0"/>
          <w:color w:val="000000"/>
          <w:sz w:val="26.666666666666668"/>
          <w:szCs w:val="26.666666666666668"/>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Správcem poplatku je obecní úřad</w:t>
      </w:r>
      <w:r w:rsidDel="00000000" w:rsidR="00000000" w:rsidRPr="00000000">
        <w:rPr>
          <w:rFonts w:ascii="Arial" w:cs="Arial" w:eastAsia="Arial" w:hAnsi="Arial"/>
          <w:b w:val="0"/>
          <w:i w:val="0"/>
          <w:smallCaps w:val="0"/>
          <w:strike w:val="0"/>
          <w:color w:val="000000"/>
          <w:sz w:val="26.666666666666668"/>
          <w:szCs w:val="26.666666666666668"/>
          <w:u w:val="none"/>
          <w:shd w:fill="auto" w:val="clear"/>
          <w:vertAlign w:val="superscript"/>
        </w:rPr>
        <w:footnoteReference w:customMarkFollows="0" w:id="1"/>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8">
      <w:pPr>
        <w:keepNext w:val="1"/>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0"/>
        </w:tabs>
        <w:spacing w:after="0" w:before="36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2</w:t>
        <w:br w:type="textWrapping"/>
        <w:t xml:space="preserve">Předmět poplatku a poplatník</w:t>
      </w:r>
    </w:p>
    <w:p w:rsidR="00000000" w:rsidDel="00000000" w:rsidP="00000000" w:rsidRDefault="00000000" w:rsidRPr="00000000" w14:paraId="0000000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Del="00000000" w:rsidR="00000000" w:rsidRPr="00000000">
        <w:rPr>
          <w:rFonts w:ascii="Arial" w:cs="Arial" w:eastAsia="Arial" w:hAnsi="Arial"/>
          <w:b w:val="0"/>
          <w:i w:val="0"/>
          <w:smallCaps w:val="0"/>
          <w:strike w:val="0"/>
          <w:color w:val="000000"/>
          <w:sz w:val="26.666666666666668"/>
          <w:szCs w:val="26.666666666666668"/>
          <w:u w:val="none"/>
          <w:shd w:fill="auto" w:val="clear"/>
          <w:vertAlign w:val="superscript"/>
        </w:rPr>
        <w:footnoteReference w:customMarkFollows="0" w:id="2"/>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Poplatek ze psů se platí ze psů starších 3 měsíců</w:t>
      </w:r>
      <w:r w:rsidDel="00000000" w:rsidR="00000000" w:rsidRPr="00000000">
        <w:rPr>
          <w:rFonts w:ascii="Arial" w:cs="Arial" w:eastAsia="Arial" w:hAnsi="Arial"/>
          <w:b w:val="0"/>
          <w:i w:val="0"/>
          <w:smallCaps w:val="0"/>
          <w:strike w:val="0"/>
          <w:color w:val="000000"/>
          <w:sz w:val="26.666666666666668"/>
          <w:szCs w:val="26.666666666666668"/>
          <w:u w:val="none"/>
          <w:shd w:fill="auto" w:val="clear"/>
          <w:vertAlign w:val="superscript"/>
        </w:rPr>
        <w:footnoteReference w:customMarkFollows="0" w:id="3"/>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B">
      <w:pPr>
        <w:keepNext w:val="1"/>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0"/>
        </w:tabs>
        <w:spacing w:after="0" w:before="36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3</w:t>
        <w:br w:type="textWrapping"/>
        <w:t xml:space="preserve">Ohlašovací povinnost</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Poplatník je povinen podat správci poplatku ohlášení nejpozději do 15 dnů ode dne, kdy se pes stal starším 3 měsíců, nebo ode dne, kdy nabyl psa staršího 3 měsíců; údaje uváděné v ohlášení upravuje zákon</w:t>
      </w:r>
      <w:r w:rsidDel="00000000" w:rsidR="00000000" w:rsidRPr="00000000">
        <w:rPr>
          <w:rFonts w:ascii="Arial" w:cs="Arial" w:eastAsia="Arial" w:hAnsi="Arial"/>
          <w:b w:val="0"/>
          <w:i w:val="0"/>
          <w:smallCaps w:val="0"/>
          <w:strike w:val="0"/>
          <w:color w:val="000000"/>
          <w:sz w:val="26.666666666666668"/>
          <w:szCs w:val="26.666666666666668"/>
          <w:u w:val="none"/>
          <w:shd w:fill="auto" w:val="clear"/>
          <w:vertAlign w:val="superscript"/>
        </w:rPr>
        <w:footnoteReference w:customMarkFollows="0" w:id="4"/>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Dojde-li ke změně údajů uvedených v ohlášení, je poplatník povinen tuto změnu oznámit do 15 dnů ode dne, kdy nastala</w:t>
      </w:r>
      <w:r w:rsidDel="00000000" w:rsidR="00000000" w:rsidRPr="00000000">
        <w:rPr>
          <w:rFonts w:ascii="Arial" w:cs="Arial" w:eastAsia="Arial" w:hAnsi="Arial"/>
          <w:b w:val="0"/>
          <w:i w:val="0"/>
          <w:smallCaps w:val="0"/>
          <w:strike w:val="0"/>
          <w:color w:val="000000"/>
          <w:sz w:val="26.666666666666668"/>
          <w:szCs w:val="26.666666666666668"/>
          <w:u w:val="none"/>
          <w:shd w:fill="auto" w:val="clear"/>
          <w:vertAlign w:val="superscript"/>
        </w:rPr>
        <w:footnoteReference w:customMarkFollows="0" w:id="5"/>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E">
      <w:pPr>
        <w:keepNext w:val="1"/>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0"/>
        </w:tabs>
        <w:spacing w:after="0" w:before="36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4</w:t>
        <w:br w:type="textWrapping"/>
        <w:t xml:space="preserve">Sazba poplatku</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Sazba poplatku za kalendářní rok činí:</w:t>
      </w:r>
    </w:p>
    <w:p w:rsidR="00000000" w:rsidDel="00000000" w:rsidP="00000000" w:rsidRDefault="00000000" w:rsidRPr="00000000" w14:paraId="0000001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964" w:right="0" w:hanging="3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 jednoho psa 100 Kč,</w:t>
      </w:r>
    </w:p>
    <w:p w:rsidR="00000000" w:rsidDel="00000000" w:rsidP="00000000" w:rsidRDefault="00000000" w:rsidRPr="00000000" w14:paraId="0000001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964" w:right="0" w:hanging="3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 druhého a každého dalšího psa téhož držitele 200 Kč,</w:t>
      </w:r>
    </w:p>
    <w:p w:rsidR="00000000" w:rsidDel="00000000" w:rsidP="00000000" w:rsidRDefault="00000000" w:rsidRPr="00000000" w14:paraId="0000001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964" w:right="0" w:hanging="3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 psa, jehož držitelem je osoba starší 65 let, 100 Kč,</w:t>
      </w:r>
    </w:p>
    <w:p w:rsidR="00000000" w:rsidDel="00000000" w:rsidP="00000000" w:rsidRDefault="00000000" w:rsidRPr="00000000" w14:paraId="0000001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964" w:right="0" w:hanging="3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 druhého a každého dalšího psa téhož držitele, kterým je osoba starší 65 let, 200 Kč.</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případě trvání poplatkové povinnosti po dobu kratší než jeden rok se platí poplatek v poměrné výši, která odpovídá počtu i započatých kalendářních měsíců</w:t>
      </w:r>
      <w:r w:rsidDel="00000000" w:rsidR="00000000" w:rsidRPr="00000000">
        <w:rPr>
          <w:rFonts w:ascii="Arial" w:cs="Arial" w:eastAsia="Arial" w:hAnsi="Arial"/>
          <w:b w:val="0"/>
          <w:i w:val="0"/>
          <w:smallCaps w:val="0"/>
          <w:strike w:val="0"/>
          <w:color w:val="000000"/>
          <w:sz w:val="26.666666666666668"/>
          <w:szCs w:val="26.666666666666668"/>
          <w:u w:val="none"/>
          <w:shd w:fill="auto" w:val="clear"/>
          <w:vertAlign w:val="superscript"/>
        </w:rPr>
        <w:footnoteReference w:customMarkFollows="0" w:id="6"/>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5">
      <w:pPr>
        <w:keepNext w:val="1"/>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0"/>
        </w:tabs>
        <w:spacing w:after="0" w:before="36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5</w:t>
        <w:br w:type="textWrapping"/>
        <w:t xml:space="preserve">Splatnost poplatku</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Poplatek je splatný nejpozději do 31. března příslušného kalendářního roku.</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Vznikne-li poplatková povinnost po datu splatnosti uvedeném v odstavci 1, je poplatek splatný nejpozději do patnáctého dne měsíce, který následuje po měsíci, ve kterém poplatková povinnost vznikla.</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Lhůta splatnosti neskončí poplatníkovi dříve než lhůta pro podání ohlášení podle čl. 3 odst. 1 této vyhlášky.</w:t>
      </w:r>
    </w:p>
    <w:p w:rsidR="00000000" w:rsidDel="00000000" w:rsidP="00000000" w:rsidRDefault="00000000" w:rsidRPr="00000000" w14:paraId="00000019">
      <w:pPr>
        <w:keepNext w:val="1"/>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0"/>
        </w:tabs>
        <w:spacing w:after="0" w:before="36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6</w:t>
        <w:br w:type="textWrapping"/>
        <w:t xml:space="preserve"> Osvobození</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Del="00000000" w:rsidR="00000000" w:rsidRPr="00000000">
        <w:rPr>
          <w:rFonts w:ascii="Arial" w:cs="Arial" w:eastAsia="Arial" w:hAnsi="Arial"/>
          <w:b w:val="0"/>
          <w:i w:val="0"/>
          <w:smallCaps w:val="0"/>
          <w:strike w:val="0"/>
          <w:color w:val="000000"/>
          <w:sz w:val="26.666666666666668"/>
          <w:szCs w:val="26.666666666666668"/>
          <w:u w:val="none"/>
          <w:shd w:fill="auto" w:val="clear"/>
          <w:vertAlign w:val="superscript"/>
        </w:rPr>
        <w:footnoteReference w:customMarkFollows="0" w:id="7"/>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případě, že poplatník nesplní povinnost ohlásit údaj rozhodný pro osvobození ve lhůtách stanovených touto vyhláškou nebo zákonem, nárok na osvobození zaniká</w:t>
      </w:r>
      <w:r w:rsidDel="00000000" w:rsidR="00000000" w:rsidRPr="00000000">
        <w:rPr>
          <w:rFonts w:ascii="Arial" w:cs="Arial" w:eastAsia="Arial" w:hAnsi="Arial"/>
          <w:b w:val="0"/>
          <w:i w:val="0"/>
          <w:smallCaps w:val="0"/>
          <w:strike w:val="0"/>
          <w:color w:val="000000"/>
          <w:sz w:val="26.666666666666668"/>
          <w:szCs w:val="26.666666666666668"/>
          <w:u w:val="none"/>
          <w:shd w:fill="auto" w:val="clear"/>
          <w:vertAlign w:val="superscript"/>
        </w:rPr>
        <w:footnoteReference w:customMarkFollows="0" w:id="8"/>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C">
      <w:pPr>
        <w:keepNext w:val="1"/>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0"/>
        </w:tabs>
        <w:spacing w:after="0" w:before="36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7</w:t>
        <w:br w:type="textWrapping"/>
        <w:t xml:space="preserve"> Přechodné a zrušovací ustanovení</w:t>
      </w:r>
    </w:p>
    <w:p w:rsidR="00000000" w:rsidDel="00000000" w:rsidP="00000000" w:rsidRDefault="00000000" w:rsidRPr="00000000" w14:paraId="0000001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Poplatkové povinnosti vzniklé před nabytím účinnosti této vyhlášky se posuzují podle dosavadních právních předpisů.</w:t>
      </w:r>
    </w:p>
    <w:p w:rsidR="00000000" w:rsidDel="00000000" w:rsidP="00000000" w:rsidRDefault="00000000" w:rsidRPr="00000000" w14:paraId="0000001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Zrušuje se obecně závazná vyhláška č. 2/2019, Obecně závazná vyhláška č. 2/2019 o místním poplatku ze psů, ze dne 11. prosince 2019.</w:t>
      </w:r>
    </w:p>
    <w:p w:rsidR="00000000" w:rsidDel="00000000" w:rsidP="00000000" w:rsidRDefault="00000000" w:rsidRPr="00000000" w14:paraId="0000001F">
      <w:pPr>
        <w:keepNext w:val="1"/>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0"/>
        </w:tabs>
        <w:spacing w:after="0" w:before="36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8</w:t>
        <w:br w:type="textWrapping"/>
        <w:t xml:space="preserve">Účinnost</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Tato vyhláška nabývá účinnosti dnem 1. ledna 2024.</w:t>
      </w:r>
    </w:p>
    <w:tbl>
      <w:tblPr>
        <w:tblStyle w:val="Table1"/>
        <w:tblW w:w="9641.0" w:type="dxa"/>
        <w:jc w:val="left"/>
        <w:tblInd w:w="-55.0" w:type="dxa"/>
        <w:tblLayout w:type="fixed"/>
        <w:tblLook w:val="0000"/>
      </w:tblPr>
      <w:tblGrid>
        <w:gridCol w:w="4820"/>
        <w:gridCol w:w="4821"/>
        <w:tblGridChange w:id="0">
          <w:tblGrid>
            <w:gridCol w:w="4820"/>
            <w:gridCol w:w="4821"/>
          </w:tblGrid>
        </w:tblGridChange>
      </w:tblGrid>
      <w:tr>
        <w:trPr>
          <w:cantSplit w:val="0"/>
          <w:trHeight w:val="1134" w:hRule="atLeast"/>
          <w:tblHeader w:val="0"/>
        </w:trPr>
        <w:tc>
          <w:tcPr>
            <w:shd w:fill="auto" w:val="clear"/>
            <w:vAlign w:val="bottom"/>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Jana Minářová v. r.</w:t>
              <w:br w:type="textWrapping"/>
              <w:t xml:space="preserve"> starostka</w:t>
            </w:r>
          </w:p>
        </w:tc>
        <w:tc>
          <w:tcPr>
            <w:shd w:fill="auto" w:val="clear"/>
            <w:vAlign w:val="bottom"/>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Antonín Horváth v. r.</w:t>
              <w:br w:type="textWrapping"/>
              <w:t xml:space="preserve"> místostarosta</w:t>
            </w:r>
          </w:p>
        </w:tc>
      </w:tr>
      <w:tr>
        <w:trPr>
          <w:cantSplit w:val="0"/>
          <w:trHeight w:val="1134" w:hRule="atLeast"/>
          <w:tblHeader w:val="0"/>
        </w:trPr>
        <w:tc>
          <w:tcPr>
            <w:shd w:fill="auto" w:val="clear"/>
            <w:vAlign w:val="bottom"/>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vAlign w:val="bottom"/>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sectPr>
      <w:pgSz w:h="16834" w:w="11909"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Liberation Serif"/>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 xml:space="preserve">§ 2 odst. 5 zákona o místních poplatcích</w:t>
      </w:r>
    </w:p>
  </w:footnote>
  <w:footnote w:id="1">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 xml:space="preserve">§ 15 odst. 1 zákona o místních poplatcích</w:t>
      </w:r>
    </w:p>
  </w:footnote>
  <w:footnote w:id="2">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 xml:space="preserve">§ 2 odst. 1 a 4 zákona o místních poplatcích</w:t>
      </w:r>
    </w:p>
  </w:footnote>
  <w:footnote w:id="3">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 xml:space="preserve">§ 2 odst. 2 zákona o místních poplatcích</w:t>
      </w:r>
    </w:p>
  </w:footnote>
  <w:footnote w:id="4">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 xml:space="preserve">§ 14a odst. 1 a 2 zákona o místních poplatcích; v ohlášení poplatník uvede zejména své identifikační údaje a skutečnosti rozhodné pro stanovení poplatku</w:t>
      </w:r>
    </w:p>
  </w:footnote>
  <w:footnote w:id="5">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 xml:space="preserve">§ 14a odst. 4 zákona o místních poplatcích</w:t>
      </w:r>
    </w:p>
  </w:footnote>
  <w:footnote w:id="6">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 xml:space="preserve">§ 2 odst. 3 zákona o místních poplatcích</w:t>
      </w:r>
    </w:p>
  </w:footnote>
  <w:footnote w:id="7">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 xml:space="preserve">§ 2 odst. 2 zákona o místních poplatcích</w:t>
      </w:r>
    </w:p>
  </w:footnote>
  <w:footnote w:id="8">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ab/>
        <w:t xml:space="preserve">§ 14a odst. 6 zákona o místních poplatcích</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2">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3">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4">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5">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6">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7">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8">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