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Obec Orlovice</w:t>
        <w:br w:type="textWrapping"/>
        <w:t xml:space="preserve">Zastupitelstvo obce Orlovice</w:t>
      </w:r>
    </w:p>
    <w:p w:rsidR="00000000" w:rsidDel="00000000" w:rsidP="00000000" w:rsidRDefault="00000000" w:rsidRPr="00000000" w14:paraId="0000000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238" w:before="238"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Obecně závazná vyhláška obce Orlovice</w:t>
        <w:br w:type="textWrapping"/>
        <w:t xml:space="preserve">o místním poplatku ze psů</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2"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Orlovice se na svém zasedání dne </w:t>
      </w:r>
      <w:r w:rsidDel="00000000" w:rsidR="00000000" w:rsidRPr="00000000">
        <w:rPr>
          <w:rFonts w:ascii="Arial" w:cs="Arial" w:eastAsia="Arial" w:hAnsi="Arial"/>
          <w:sz w:val="22"/>
          <w:szCs w:val="22"/>
          <w:rtl w:val="0"/>
        </w:rPr>
        <w:t xml:space="preserve">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prosince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4">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w:t>
        <w:br w:type="textWrapping"/>
        <w:t xml:space="preserve">Úvodní ustanovení</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Obec Orlovice touto vyhláškou zavádí místní poplatek ze psů (dále jen „poplatek“).</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Poplatkovým obdobím poplatku je kalendářní rok</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Správcem poplatku je obecní úřad</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2</w:t>
        <w:br w:type="textWrapping"/>
        <w:t xml:space="preserve">Předmět poplatku a poplatník</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se platí ze psů starších 3 měsíců</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3</w:t>
        <w:br w:type="textWrapping"/>
        <w:t xml:space="preserve">Ohlašovací povinnost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je povinen podat správci poplatku ohlášení nejpozději do 15 dnů ode dne, kdy se pes stal starším 3 měsíců, nebo ode dne, kdy nabyl psa staršího 3 měsíců; údaje uváděné v ohlášení upravuje zákon</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Dojde-li ke změně údajů uvedených v ohlášení, je poplatník povinen tuto změnu oznámit do 15 dnů ode dne, kdy nastala</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4</w:t>
        <w:br w:type="textWrapping"/>
        <w:t xml:space="preserve">Sazba poplatku</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Sazba poplatku za kalendářní rok činí:</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jednoho psa 100 Kč,</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200 Kč,</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psa, jehož držitelem je osoba starší 65 let, 100 Kč,</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kterým je osoba starší 65 let, 200 Kč.</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5</w:t>
        <w:br w:type="textWrapping"/>
        <w:t xml:space="preserve">Splatnost poplatku</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je splatný nejpozději do 31. března příslušného kalendářního roku.</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Lhůta splatnosti neskončí poplatníkovi dříve než lhůta pro podání ohlášení podle čl. 3 odst. 1 této vyhlášky.</w:t>
      </w:r>
    </w:p>
    <w:p w:rsidR="00000000" w:rsidDel="00000000" w:rsidP="00000000" w:rsidRDefault="00000000" w:rsidRPr="00000000" w14:paraId="00000019">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6</w:t>
        <w:br w:type="textWrapping"/>
        <w:t xml:space="preserve"> Osvobození</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poplatník nesplní povinnost ohlásit údaj rozhodný pro osvobození ve lhůtách stanovených touto vyhláškou nebo zákonem, nárok na osvobození zaniká</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7</w:t>
        <w:br w:type="textWrapping"/>
        <w:t xml:space="preserve"> Přechodné a zrušovací ustanovení</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Poplatkové povinnosti vzniklé před nabytím účinnosti této vyhlášky se posuzují podle dosavadních právních předpisů.</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obecně závazná vyhláška č. 2/2019, Obecně závazná vyhláška č. 2/2019 o místním poplatku ze psů, ze dne 11. prosince 2019.</w:t>
      </w:r>
    </w:p>
    <w:p w:rsidR="00000000" w:rsidDel="00000000" w:rsidP="00000000" w:rsidRDefault="00000000" w:rsidRPr="00000000" w14:paraId="0000001F">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0"/>
        </w:tabs>
        <w:spacing w:after="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8</w:t>
        <w:br w:type="textWrapping"/>
        <w:t xml:space="preserve">Účinnost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dnem 1. ledna 2024.</w:t>
      </w:r>
    </w:p>
    <w:tbl>
      <w:tblPr>
        <w:tblStyle w:val="Table1"/>
        <w:tblW w:w="9641.0" w:type="dxa"/>
        <w:jc w:val="left"/>
        <w:tblInd w:w="-55.0" w:type="dxa"/>
        <w:tblLayout w:type="fixed"/>
        <w:tblLook w:val="0000"/>
      </w:tblPr>
      <w:tblGrid>
        <w:gridCol w:w="4820"/>
        <w:gridCol w:w="4821"/>
        <w:tblGridChange w:id="0">
          <w:tblGrid>
            <w:gridCol w:w="4820"/>
            <w:gridCol w:w="4821"/>
          </w:tblGrid>
        </w:tblGridChange>
      </w:tblGrid>
      <w:tr>
        <w:trPr>
          <w:cantSplit w:val="0"/>
          <w:trHeight w:val="1134" w:hRule="atLeast"/>
          <w:tblHeader w:val="0"/>
        </w:trPr>
        <w:tc>
          <w:tcPr>
            <w:shd w:fill="auto" w:val="clear"/>
            <w:vAlign w:val="bottom"/>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Jana Minářová v. r.</w:t>
              <w:br w:type="textWrapping"/>
              <w:t xml:space="preserve"> starostka</w:t>
            </w:r>
          </w:p>
        </w:tc>
        <w:tc>
          <w:tcPr>
            <w:shd w:fill="auto" w:val="clear"/>
            <w:vAlign w:val="bottom"/>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Antonín Horváth v. r.</w:t>
              <w:br w:type="textWrapping"/>
              <w:t xml:space="preserve"> místostarosta</w:t>
            </w:r>
          </w:p>
        </w:tc>
      </w:tr>
      <w:tr>
        <w:trPr>
          <w:cantSplit w:val="0"/>
          <w:trHeight w:val="1134" w:hRule="atLeast"/>
          <w:tblHeader w:val="0"/>
        </w:trPr>
        <w:tc>
          <w:tcPr>
            <w:shd w:fill="auto" w:val="clear"/>
            <w:vAlign w:val="bottom"/>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bottom"/>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sectPr>
      <w:pgSz w:h="16834" w:w="11909"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5 zákona o místních poplatcích</w:t>
      </w:r>
    </w:p>
  </w:footnote>
  <w:footnote w:id="1">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15 odst. 1 zákona o místních poplatcích</w:t>
      </w:r>
    </w:p>
  </w:footnote>
  <w:footnote w:id="2">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1 a 4 zákona o místních poplatcích</w:t>
      </w:r>
    </w:p>
  </w:footnote>
  <w:footnote w:id="3">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2 zákona o místních poplatcích</w:t>
      </w:r>
    </w:p>
  </w:footnote>
  <w:footnote w:id="4">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1 a 2 zákona o místních poplatcích; v ohlášení poplatník uvede zejména své identifikační údaje a skutečnosti rozhodné pro stanovení poplatku</w:t>
      </w:r>
    </w:p>
  </w:footnote>
  <w:footnote w:id="5">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4 zákona o místních poplatcích</w:t>
      </w:r>
    </w:p>
  </w:footnote>
  <w:footnote w:id="6">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3 zákona o místních poplatcích</w:t>
      </w:r>
    </w:p>
  </w:footnote>
  <w:footnote w:id="7">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2 zákona o místních poplatcích</w:t>
      </w:r>
    </w:p>
  </w:footnote>
  <w:footnote w:id="8">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6 zákona o místních poplatcích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