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25" w:rsidRPr="005F7FAE" w:rsidRDefault="002F1D25" w:rsidP="002F1D25">
      <w:pPr>
        <w:spacing w:line="276" w:lineRule="auto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Příloha </w:t>
      </w:r>
      <w:r>
        <w:rPr>
          <w:rFonts w:ascii="Arial" w:hAnsi="Arial" w:cs="Arial"/>
          <w:b/>
        </w:rPr>
        <w:t>č. 1 k obecně závazné vyhlášce</w:t>
      </w:r>
      <w:r w:rsidRPr="005F7F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města Boskovice,</w:t>
      </w:r>
      <w:r w:rsidRPr="005F7FAE">
        <w:rPr>
          <w:rFonts w:ascii="Arial" w:hAnsi="Arial" w:cs="Arial"/>
          <w:b/>
        </w:rPr>
        <w:t xml:space="preserve"> kterou se stanovují pravidla pro pohyb psů na veřejném prostranství </w:t>
      </w:r>
      <w:r w:rsidRPr="00FB5DE1">
        <w:rPr>
          <w:rFonts w:ascii="Arial" w:hAnsi="Arial" w:cs="Arial"/>
          <w:b/>
        </w:rPr>
        <w:t xml:space="preserve">v katastrálním území Boskovice </w:t>
      </w:r>
      <w:r w:rsidRPr="005F7FAE">
        <w:rPr>
          <w:rFonts w:ascii="Arial" w:hAnsi="Arial" w:cs="Arial"/>
          <w:b/>
        </w:rPr>
        <w:t>a vymezují prostory pro volné pobíhání psů</w:t>
      </w:r>
    </w:p>
    <w:p w:rsidR="002F1D25" w:rsidRPr="00B106A9" w:rsidRDefault="002F1D25" w:rsidP="002F1D25">
      <w:pPr>
        <w:spacing w:line="276" w:lineRule="auto"/>
        <w:rPr>
          <w:rFonts w:ascii="Arial" w:hAnsi="Arial" w:cs="Arial"/>
        </w:rPr>
      </w:pPr>
    </w:p>
    <w:p w:rsidR="002F1D25" w:rsidRPr="00B106A9" w:rsidRDefault="002F1D25" w:rsidP="002F1D25">
      <w:pPr>
        <w:spacing w:line="276" w:lineRule="auto"/>
        <w:rPr>
          <w:rFonts w:ascii="Arial" w:hAnsi="Arial" w:cs="Arial"/>
        </w:rPr>
      </w:pPr>
      <w:r w:rsidRPr="00B106A9">
        <w:rPr>
          <w:rFonts w:ascii="Arial" w:hAnsi="Arial" w:cs="Arial"/>
        </w:rPr>
        <w:t>Veřejná prostranství, na nichž je možný volný pohyb psů ve smyslu čl. 2 odst. 1 této vyhlášky</w:t>
      </w:r>
    </w:p>
    <w:p w:rsidR="002F1D25" w:rsidRPr="00B106A9" w:rsidRDefault="002F1D25" w:rsidP="002F1D25">
      <w:pPr>
        <w:pStyle w:val="Odstavecseseznamem"/>
        <w:numPr>
          <w:ilvl w:val="0"/>
          <w:numId w:val="1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sídliště Mánesova x Bílkova – plocha vymezená chodníkem u byt. domů Bílkova 46-68 a plotem MŠ, p. č. 785/56</w:t>
      </w:r>
    </w:p>
    <w:p w:rsidR="002F1D25" w:rsidRDefault="002F1D25" w:rsidP="002F1D25">
      <w:pPr>
        <w:pStyle w:val="Odstavecseseznamem"/>
        <w:numPr>
          <w:ilvl w:val="0"/>
          <w:numId w:val="1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ul. Na Vyhlídce – jedná se o travnatou plochu pod bytovými domy na ul. Hybešova (plocha je z jedné části ohraničená chodníkem směrem od hřiště, po parcelu bývalého bikrosového hřiště a ukončena kotelnou, p. č. 1990/172</w:t>
      </w:r>
    </w:p>
    <w:p w:rsidR="002F1D25" w:rsidRPr="00B106A9" w:rsidRDefault="002F1D25" w:rsidP="002F1D25">
      <w:pPr>
        <w:spacing w:line="276" w:lineRule="auto"/>
        <w:rPr>
          <w:rFonts w:ascii="Arial" w:hAnsi="Arial" w:cs="Arial"/>
        </w:rPr>
      </w:pPr>
    </w:p>
    <w:p w:rsidR="007A3F7D" w:rsidRDefault="007A3F7D">
      <w:bookmarkStart w:id="0" w:name="_GoBack"/>
      <w:bookmarkEnd w:id="0"/>
    </w:p>
    <w:sectPr w:rsidR="007A3F7D" w:rsidSect="002F1D25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5"/>
    <w:rsid w:val="002F1D25"/>
    <w:rsid w:val="007A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5A789-4FA9-4D3D-BDCE-AE9CE4D0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1D25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 Moučka</dc:creator>
  <cp:keywords/>
  <dc:description/>
  <cp:lastModifiedBy>Mgr. Martin Moučka</cp:lastModifiedBy>
  <cp:revision>1</cp:revision>
  <dcterms:created xsi:type="dcterms:W3CDTF">2024-12-11T09:04:00Z</dcterms:created>
  <dcterms:modified xsi:type="dcterms:W3CDTF">2024-12-11T09:05:00Z</dcterms:modified>
</cp:coreProperties>
</file>