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/>
          <w:bCs/>
          <w:iCs/>
          <w:color w:val="auto"/>
        </w:rPr>
      </w:pPr>
      <w:r>
        <w:rPr>
          <w:rFonts w:cs="Arial" w:ascii="Arial" w:hAnsi="Arial"/>
          <w:b/>
          <w:bCs/>
          <w:iCs/>
          <w:color w:val="auto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jc w:val="center"/>
        <w:rPr>
          <w:rFonts w:ascii="Arial" w:hAnsi="Arial" w:eastAsia="Times New Roman" w:cs="Arial"/>
          <w:b/>
          <w:b/>
          <w:color w:val="auto"/>
        </w:rPr>
      </w:pPr>
      <w:r>
        <w:rPr>
          <w:rFonts w:eastAsia="Times New Roman" w:cs="Arial" w:ascii="Arial" w:hAnsi="Arial"/>
          <w:b/>
          <w:color w:val="auto"/>
        </w:rPr>
        <w:t>OBEC Svatá Maří</w:t>
      </w:r>
    </w:p>
    <w:p>
      <w:pPr>
        <w:pStyle w:val="Normal"/>
        <w:spacing w:lineRule="auto" w:line="276"/>
        <w:jc w:val="center"/>
        <w:rPr>
          <w:rFonts w:ascii="Arial" w:hAnsi="Arial" w:eastAsia="Times New Roman" w:cs="Arial"/>
          <w:b/>
          <w:b/>
          <w:color w:val="auto"/>
        </w:rPr>
      </w:pPr>
      <w:r>
        <w:rPr>
          <w:rFonts w:eastAsia="Times New Roman" w:cs="Arial" w:ascii="Arial" w:hAnsi="Arial"/>
          <w:b/>
          <w:color w:val="auto"/>
        </w:rPr>
        <w:t>Zastupitelstvo obce Svatá Maří</w:t>
      </w:r>
    </w:p>
    <w:p>
      <w:pPr>
        <w:pStyle w:val="Normal"/>
        <w:spacing w:lineRule="auto" w:line="276"/>
        <w:jc w:val="center"/>
        <w:rPr>
          <w:rFonts w:ascii="Arial" w:hAnsi="Arial" w:eastAsia="Times New Roman" w:cs="Arial"/>
          <w:b/>
          <w:b/>
          <w:color w:val="auto"/>
        </w:rPr>
      </w:pPr>
      <w:r>
        <w:rPr>
          <w:rFonts w:eastAsia="Times New Roman" w:cs="Arial" w:ascii="Arial" w:hAnsi="Arial"/>
          <w:b/>
          <w:color w:val="auto"/>
        </w:rPr>
        <w:t>Obecně závazná vyhláška obce Svatá Maří,</w:t>
      </w:r>
    </w:p>
    <w:p>
      <w:pPr>
        <w:pStyle w:val="NormlnIMP"/>
        <w:spacing w:lineRule="auto" w:line="24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spacing w:before="0" w:after="120"/>
        <w:jc w:val="center"/>
        <w:rPr>
          <w:rFonts w:ascii="Arial" w:hAnsi="Arial" w:eastAsia="Arial" w:cs="Arial"/>
          <w:b/>
          <w:b/>
          <w:bCs/>
        </w:rPr>
      </w:pPr>
      <w:r>
        <w:rPr>
          <w:rFonts w:ascii="Arial" w:hAnsi="Arial"/>
          <w:b/>
          <w:bCs/>
        </w:rPr>
        <w:t xml:space="preserve">kterou se stanovují pravidla pro pohyb psů na veřejném prostranství </w:t>
        <w:br/>
        <w:t>v obci Svatá Maří</w:t>
      </w:r>
    </w:p>
    <w:p>
      <w:pPr>
        <w:pStyle w:val="Normal"/>
        <w:spacing w:before="0" w:after="12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spacing w:lineRule="auto" w:line="312" w:before="0" w:after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obce Svatá Maří</w:t>
      </w:r>
      <w:r>
        <w:rPr>
          <w:rFonts w:eastAsia="Times New Roman" w:cs="Arial" w:ascii="Arial" w:hAnsi="Arial"/>
          <w:color w:val="auto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>
        <w:rPr>
          <w:rFonts w:ascii="Arial" w:hAnsi="Arial"/>
          <w:sz w:val="22"/>
          <w:szCs w:val="22"/>
        </w:rPr>
        <w:t>14.4.2023</w:t>
      </w:r>
      <w:r>
        <w:rPr>
          <w:rFonts w:ascii="Arial" w:hAnsi="Arial"/>
          <w:sz w:val="22"/>
          <w:szCs w:val="22"/>
        </w:rPr>
        <w:t xml:space="preserve"> usnesením č. </w:t>
      </w:r>
      <w:r>
        <w:rPr>
          <w:rFonts w:ascii="Arial" w:hAnsi="Arial"/>
          <w:sz w:val="22"/>
          <w:szCs w:val="22"/>
        </w:rPr>
        <w:t>3/23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 35 a § 84 odst. 2 písm. h) zákona č. 128/2000 Sb., o obcích (obecní zřízení), ve znění pozdějších předpisů, tuto obecně závaznou vyhlášku:</w:t>
      </w:r>
    </w:p>
    <w:p>
      <w:pPr>
        <w:pStyle w:val="Normal"/>
        <w:widowControl w:val="false"/>
        <w:spacing w:lineRule="auto" w:line="36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widowControl w:val="false"/>
        <w:spacing w:lineRule="auto" w:line="36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>
      <w:pPr>
        <w:pStyle w:val="Normal"/>
        <w:widowControl w:val="false"/>
        <w:spacing w:lineRule="auto" w:line="360" w:before="0" w:after="12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312" w:before="0" w:after="120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Ukotvenpoznmkypodarou"/>
          <w:rFonts w:eastAsia="Arial" w:cs="Arial" w:ascii="Arial" w:hAnsi="Arial"/>
        </w:rPr>
        <w:footnoteReference w:id="2"/>
      </w:r>
      <w:r>
        <w:rPr>
          <w:rStyle w:val="FootnoteCharacters"/>
          <w:rFonts w:ascii="Arial" w:hAnsi="Arial"/>
        </w:rPr>
        <w:t>)</w:t>
      </w:r>
      <w:r>
        <w:rPr>
          <w:rFonts w:ascii="Arial" w:hAnsi="Arial"/>
        </w:rPr>
        <w:t>:</w:t>
      </w:r>
    </w:p>
    <w:p>
      <w:pPr>
        <w:pStyle w:val="ListParagraph"/>
        <w:widowControl w:val="false"/>
        <w:numPr>
          <w:ilvl w:val="1"/>
          <w:numId w:val="7"/>
        </w:numPr>
        <w:spacing w:lineRule="auto" w:line="312" w:before="0" w:after="120"/>
        <w:jc w:val="both"/>
        <w:rPr>
          <w:shd w:fill="FFFFFF" w:val="clear"/>
        </w:rPr>
      </w:pPr>
      <w:r>
        <w:rPr>
          <w:rFonts w:ascii="Arial" w:hAnsi="Arial"/>
          <w:b/>
          <w:bCs/>
          <w:shd w:fill="FFFFFF" w:val="clear"/>
        </w:rPr>
        <w:t xml:space="preserve">na veřejných prostranstvích v obci, vymezených </w:t>
      </w:r>
      <w:r>
        <w:rPr>
          <w:rFonts w:ascii="Arial" w:hAnsi="Arial"/>
          <w:b/>
          <w:shd w:fill="FFFFFF" w:val="clear"/>
        </w:rPr>
        <w:t>v příloze č. 1,</w:t>
      </w:r>
      <w:r>
        <w:rPr>
          <w:rFonts w:ascii="Arial" w:hAnsi="Arial"/>
          <w:shd w:fill="FFFFFF" w:val="clear"/>
        </w:rPr>
        <w:t xml:space="preserve"> která je nedílnou součástí této obecně závazné vyhlášky, </w:t>
      </w:r>
      <w:r>
        <w:rPr>
          <w:rFonts w:ascii="Arial" w:hAnsi="Arial"/>
          <w:b/>
          <w:shd w:fill="FFFFFF" w:val="clear"/>
        </w:rPr>
        <w:t>je možný pohyb psů pouze na vodítku a s náhubkem.</w:t>
      </w:r>
    </w:p>
    <w:p>
      <w:pPr>
        <w:pStyle w:val="ListParagraph"/>
        <w:widowControl w:val="false"/>
        <w:numPr>
          <w:ilvl w:val="1"/>
          <w:numId w:val="8"/>
        </w:numPr>
        <w:spacing w:lineRule="auto" w:line="312" w:before="0" w:after="120"/>
        <w:jc w:val="both"/>
        <w:rPr>
          <w:shd w:fill="FFFFFF" w:val="clear"/>
        </w:rPr>
      </w:pPr>
      <w:r>
        <w:rPr>
          <w:rFonts w:ascii="Arial" w:hAnsi="Arial"/>
          <w:iCs/>
          <w:shd w:fill="FFFFFF" w:val="clear"/>
        </w:rPr>
        <w:t xml:space="preserve">na veřejném prostranství </w:t>
      </w:r>
      <w:r>
        <w:rPr>
          <w:rFonts w:ascii="Arial" w:hAnsi="Arial"/>
          <w:b/>
          <w:iCs/>
          <w:shd w:fill="FFFFFF" w:val="clear"/>
        </w:rPr>
        <w:t>je nutné odstranit znečištění</w:t>
      </w:r>
      <w:r>
        <w:rPr>
          <w:rFonts w:ascii="Arial" w:hAnsi="Arial"/>
          <w:iCs/>
          <w:shd w:fill="FFFFFF" w:val="clear"/>
        </w:rPr>
        <w:t xml:space="preserve"> (např. tuhý exkrement) </w:t>
      </w:r>
      <w:r>
        <w:rPr>
          <w:rFonts w:ascii="Arial" w:hAnsi="Arial"/>
          <w:b/>
          <w:iCs/>
          <w:shd w:fill="FFFFFF" w:val="clear"/>
        </w:rPr>
        <w:t>způsobený psem.</w:t>
      </w:r>
    </w:p>
    <w:p>
      <w:pPr>
        <w:pStyle w:val="ListParagraph"/>
        <w:widowControl w:val="false"/>
        <w:numPr>
          <w:ilvl w:val="0"/>
          <w:numId w:val="9"/>
        </w:numPr>
        <w:spacing w:lineRule="auto" w:line="312" w:before="0" w:after="120"/>
        <w:jc w:val="both"/>
        <w:rPr>
          <w:rFonts w:ascii="Arial" w:hAnsi="Arial"/>
        </w:rPr>
      </w:pPr>
      <w:r>
        <w:rPr>
          <w:rFonts w:ascii="Arial" w:hAnsi="Arial"/>
          <w:shd w:fill="FFFFFF" w:val="clear"/>
        </w:rPr>
        <w:t>Splnění povinností stanoven</w:t>
      </w:r>
      <w:r>
        <w:rPr>
          <w:rFonts w:ascii="Arial" w:hAnsi="Arial"/>
        </w:rPr>
        <w:t xml:space="preserve">ých v odst. 1 písm. a) a b) zajišťuje fyzická osoba, která má psa na veřejném prostranství pod kontrolou či dohledem </w:t>
      </w:r>
      <w:r>
        <w:rPr>
          <w:rStyle w:val="Ukotvenpoznmkypodarou"/>
          <w:rFonts w:eastAsia="Arial" w:cs="Arial" w:ascii="Arial" w:hAnsi="Arial"/>
        </w:rPr>
        <w:footnoteReference w:id="3"/>
      </w:r>
      <w:r>
        <w:rPr>
          <w:rStyle w:val="FootnoteCharacters"/>
          <w:rFonts w:ascii="Arial" w:hAnsi="Arial"/>
        </w:rPr>
        <w:t>)</w:t>
      </w:r>
      <w:r>
        <w:rPr>
          <w:rFonts w:ascii="Arial" w:hAnsi="Arial"/>
        </w:rPr>
        <w:t>.</w:t>
      </w:r>
    </w:p>
    <w:p>
      <w:pPr>
        <w:pStyle w:val="ListParagraph"/>
        <w:widowControl w:val="false"/>
        <w:numPr>
          <w:ilvl w:val="0"/>
          <w:numId w:val="10"/>
        </w:numPr>
        <w:spacing w:lineRule="auto" w:line="312" w:before="0" w:after="120"/>
        <w:jc w:val="both"/>
        <w:rPr>
          <w:rFonts w:ascii="Arial" w:hAnsi="Arial"/>
        </w:rPr>
      </w:pPr>
      <w:r>
        <w:rPr>
          <w:rFonts w:ascii="Arial" w:hAnsi="Arial"/>
        </w:rPr>
        <w:t>Pravidlo stanovené v odst. 1 písm. a) se nevztahuje na psy při jejich použití dle zvláštních předpisů</w:t>
      </w:r>
      <w:r>
        <w:rPr>
          <w:rStyle w:val="Ukotvenpoznmkypodarou"/>
          <w:rFonts w:eastAsia="Arial" w:cs="Arial" w:ascii="Arial" w:hAnsi="Arial"/>
        </w:rPr>
        <w:footnoteReference w:id="4"/>
      </w:r>
      <w:r>
        <w:rPr>
          <w:rStyle w:val="FootnoteCharacters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Seznamoslovan"/>
        <w:tabs>
          <w:tab w:val="left" w:pos="720" w:leader="none"/>
          <w:tab w:val="left" w:pos="6480" w:leader="none"/>
        </w:tabs>
        <w:spacing w:lineRule="auto" w:line="312" w:before="0" w:after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Touto obecně závaznou vyhláškou se ruší obecně závazná vyhláška obce č. 2/2005, stanovující pravidla pro pohyb psů, ze dne 9. 12. 2005.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eastAsia="Arial" w:cs="Arial" w:ascii="Arial" w:hAnsi="Arial"/>
          <w:b/>
          <w:bCs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>
      <w:pPr>
        <w:pStyle w:val="Tlotextu"/>
        <w:spacing w:lineRule="auto" w:line="312" w:before="0" w:after="0"/>
        <w:jc w:val="center"/>
        <w:rPr>
          <w:rFonts w:ascii="Arial" w:hAnsi="Arial" w:eastAsia="Arial" w:cs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>
      <w:pPr>
        <w:pStyle w:val="NormalWeb"/>
        <w:spacing w:before="0" w:after="120"/>
        <w:rPr>
          <w:rFonts w:ascii="Arial" w:hAnsi="Arial" w:cs="Arial"/>
          <w:color w:val="0B5AB2"/>
          <w:sz w:val="22"/>
          <w:szCs w:val="22"/>
        </w:rPr>
      </w:pPr>
      <w:r>
        <w:rPr>
          <w:rFonts w:cs="Arial" w:ascii="Arial" w:hAnsi="Arial"/>
          <w:color w:val="0B5AB2"/>
          <w:sz w:val="22"/>
          <w:szCs w:val="22"/>
        </w:rPr>
      </w:r>
    </w:p>
    <w:p>
      <w:pPr>
        <w:pStyle w:val="Seznamoslovan"/>
        <w:tabs>
          <w:tab w:val="left" w:pos="720" w:leader="none"/>
          <w:tab w:val="left" w:pos="6480" w:leader="none"/>
        </w:tabs>
        <w:spacing w:lineRule="auto" w:line="312" w:before="0" w:after="0"/>
        <w:rPr>
          <w:rFonts w:ascii="Arial" w:hAnsi="Arial" w:eastAsia="Helvetica Neue" w:cs="Arial" w:eastAsiaTheme="minorHAnsi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obecně závazná vyhláška nabývá účinnosti dnem </w:t>
      </w:r>
      <w:r>
        <w:rPr>
          <w:rFonts w:eastAsia="Times New Roman" w:cs="Arial" w:ascii="Arial" w:hAnsi="Arial"/>
          <w:color w:val="auto"/>
          <w:sz w:val="22"/>
          <w:szCs w:val="22"/>
        </w:rPr>
        <w:t>počátkem patnáctého dne následujícího po dni jejího vyhlášení.</w:t>
      </w:r>
    </w:p>
    <w:p>
      <w:pPr>
        <w:pStyle w:val="Tlotextu"/>
        <w:spacing w:lineRule="auto" w:line="312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lotextu"/>
        <w:spacing w:lineRule="auto" w:line="312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Miroslav Zátka</w:t>
        <w:tab/>
        <w:tab/>
        <w:t>Pavel Mráz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ab/>
        <w:t>starosta</w:t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 xml:space="preserve"> </w:t>
        <w:tab/>
        <w:t xml:space="preserve">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Nadpis5"/>
        <w:spacing w:lineRule="auto" w:line="312" w:before="0" w:after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>
      <w:pPr>
        <w:pStyle w:val="Tlotextu"/>
        <w:spacing w:lineRule="auto" w:line="312" w:before="0" w:after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BodyText2"/>
        <w:spacing w:lineRule="auto" w:line="312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uto" w:line="312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Příloha č. 1 k obecně závazné vyhlášce obce Svatá Maří, kterou se stanovují pravidla pro pohyb psů na veřejném prostranství v obci Svatá Maří</w:t>
      </w:r>
    </w:p>
    <w:p>
      <w:pPr>
        <w:pStyle w:val="BodyText2"/>
        <w:spacing w:lineRule="auto" w:line="312" w:before="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BodyText2"/>
        <w:spacing w:lineRule="auto" w:line="312" w:before="0" w:after="0"/>
        <w:jc w:val="both"/>
        <w:rPr>
          <w:rFonts w:ascii="Arial" w:hAnsi="Arial"/>
          <w:b/>
          <w:b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 w:color="000000"/>
        </w:rPr>
        <w:t>Vymezení veřejných prostranství, na kterých je možný pohyb psů pouze</w:t>
      </w:r>
      <w:r>
        <w:rPr>
          <w:rFonts w:ascii="Arial" w:hAnsi="Arial"/>
          <w:sz w:val="22"/>
          <w:szCs w:val="22"/>
          <w:u w:val="single" w:color="000000"/>
          <w:shd w:fill="FFFFFF" w:val="clear"/>
        </w:rPr>
        <w:t xml:space="preserve"> </w:t>
      </w:r>
      <w:r>
        <w:rPr>
          <w:rFonts w:ascii="Arial" w:hAnsi="Arial"/>
          <w:b/>
          <w:sz w:val="22"/>
          <w:szCs w:val="22"/>
          <w:u w:val="single" w:color="000000"/>
          <w:shd w:fill="FFFFFF" w:val="clear"/>
        </w:rPr>
        <w:t xml:space="preserve">na vodítku a s náhubkem </w:t>
      </w:r>
      <w:r>
        <w:rPr>
          <w:rFonts w:ascii="Arial" w:hAnsi="Arial"/>
          <w:b/>
          <w:sz w:val="22"/>
          <w:szCs w:val="22"/>
          <w:u w:val="single" w:color="000000"/>
          <w:shd w:fill="FFFFFF" w:val="clear"/>
        </w:rPr>
        <w:t>viz. Příloha č. 1</w:t>
      </w:r>
      <w:r>
        <w:rPr>
          <w:rFonts w:ascii="Arial" w:hAnsi="Arial"/>
          <w:b/>
          <w:sz w:val="22"/>
          <w:szCs w:val="22"/>
          <w:u w:val="single" w:color="000000"/>
          <w:shd w:fill="FFFFFF" w:val="clear"/>
        </w:rPr>
        <w:t xml:space="preserve">. </w:t>
      </w:r>
    </w:p>
    <w:p>
      <w:pPr>
        <w:pStyle w:val="BodyText2"/>
        <w:spacing w:lineRule="auto" w:line="312" w:before="0" w:after="0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BodyText2"/>
        <w:spacing w:lineRule="auto" w:line="312" w:before="0" w:after="0"/>
        <w:jc w:val="both"/>
        <w:rPr>
          <w:rFonts w:ascii="Arial" w:hAnsi="Arial" w:eastAsia="Arial" w:cs="Arial"/>
          <w:i/>
          <w:i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42" w:hanging="142"/>
        <w:jc w:val="both"/>
        <w:rPr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vertAlign w:val="superscript"/>
        </w:rPr>
        <w:tab/>
        <w:t>)</w:t>
      </w:r>
      <w:r>
        <w:rPr>
          <w:rFonts w:ascii="Arial" w:hAnsi="Arial"/>
          <w:sz w:val="16"/>
          <w:szCs w:val="16"/>
        </w:rPr>
        <w:t xml:space="preserve"> § </w:t>
      </w:r>
      <w:r>
        <w:rPr>
          <w:rFonts w:ascii="Arial" w:hAnsi="Arial"/>
          <w:sz w:val="16"/>
          <w:szCs w:val="16"/>
          <w:lang w:val="de-DE"/>
        </w:rPr>
        <w:t>34 z</w:t>
      </w:r>
      <w:r>
        <w:rPr>
          <w:rFonts w:ascii="Arial" w:hAnsi="Arial"/>
          <w:sz w:val="16"/>
          <w:szCs w:val="16"/>
        </w:rPr>
        <w:t xml:space="preserve">ákona č. 128/2000 Sb., o obcích (obecní zřízení), ve znění pozdějších předpisů. </w:t>
      </w:r>
    </w:p>
  </w:footnote>
  <w:footnote w:id="3">
    <w:p>
      <w:pPr>
        <w:pStyle w:val="Default"/>
        <w:ind w:left="142" w:hanging="142"/>
        <w:jc w:val="both"/>
        <w:rPr>
          <w:sz w:val="16"/>
          <w:szCs w:val="16"/>
        </w:rPr>
      </w:pPr>
      <w:r>
        <w:rPr>
          <w:rStyle w:val="Znakypropoznmkupodarou"/>
        </w:rPr>
        <w:footnoteRef/>
      </w:r>
      <w:r>
        <w:rPr>
          <w:sz w:val="16"/>
          <w:szCs w:val="16"/>
          <w:vertAlign w:val="superscript"/>
        </w:rPr>
        <w:tab/>
        <w:t>)</w:t>
      </w:r>
      <w:r>
        <w:rPr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>
      <w:pPr>
        <w:pStyle w:val="Poznmkapodarou"/>
        <w:ind w:left="142" w:hanging="142"/>
        <w:jc w:val="both"/>
        <w:rPr>
          <w:sz w:val="16"/>
          <w:szCs w:val="16"/>
        </w:rPr>
      </w:pPr>
      <w:r>
        <w:rPr>
          <w:rStyle w:val="Znakypropoznmkupodarou"/>
        </w:rPr>
        <w:footnoteRef/>
      </w:r>
      <w:r>
        <w:rPr>
          <w:rFonts w:ascii="Arial" w:hAnsi="Arial"/>
          <w:sz w:val="16"/>
          <w:szCs w:val="16"/>
          <w:vertAlign w:val="superscript"/>
        </w:rPr>
        <w:tab/>
        <w:t>)</w:t>
      </w:r>
      <w:r>
        <w:rPr>
          <w:rFonts w:ascii="Arial" w:hAnsi="Arial"/>
          <w:sz w:val="16"/>
          <w:szCs w:val="16"/>
          <w:lang w:val="it-IT"/>
        </w:rPr>
        <w:t xml:space="preserve"> Nap</w:t>
      </w:r>
      <w:r>
        <w:rPr>
          <w:rFonts w:ascii="Arial" w:hAnsi="Arial"/>
          <w:sz w:val="16"/>
          <w:szCs w:val="16"/>
        </w:rPr>
        <w:t>ř</w:t>
      </w:r>
      <w:r>
        <w:rPr>
          <w:rFonts w:ascii="Arial" w:hAnsi="Arial"/>
          <w:sz w:val="16"/>
          <w:szCs w:val="16"/>
          <w:lang w:val="de-DE"/>
        </w:rPr>
        <w:t>. z</w:t>
      </w:r>
      <w:r>
        <w:rPr>
          <w:rFonts w:ascii="Arial" w:hAnsi="Arial"/>
          <w:sz w:val="16"/>
          <w:szCs w:val="16"/>
        </w:rPr>
        <w:t>ákon č. 273/2008 Sb., o Policii Česk</w:t>
      </w:r>
      <w:r>
        <w:rPr>
          <w:rFonts w:ascii="Arial" w:hAnsi="Arial"/>
          <w:sz w:val="16"/>
          <w:szCs w:val="16"/>
          <w:lang w:val="fr-FR"/>
        </w:rPr>
        <w:t xml:space="preserve">é </w:t>
      </w:r>
      <w:r>
        <w:rPr>
          <w:rFonts w:ascii="Arial" w:hAnsi="Arial"/>
          <w:sz w:val="16"/>
          <w:szCs w:val="16"/>
        </w:rPr>
        <w:t>republiky, ve znění pozdějších předpisů</w:t>
      </w:r>
      <w:r>
        <w:rPr>
          <w:rFonts w:ascii="Arial" w:hAnsi="Arial"/>
          <w:sz w:val="16"/>
          <w:szCs w:val="16"/>
          <w:lang w:val="nl-NL"/>
        </w:rPr>
        <w:t>, z</w:t>
      </w:r>
      <w:r>
        <w:rPr>
          <w:rFonts w:ascii="Arial" w:hAnsi="Arial"/>
          <w:sz w:val="16"/>
          <w:szCs w:val="16"/>
        </w:rPr>
        <w:t>ákon č. 553/1991 Sb., o obecní policii, ve znění pozdějších předpisů.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559" w:hanging="29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267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2975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391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099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86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731"/>
        </w:tabs>
        <w:ind w:left="402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891"/>
        </w:tabs>
        <w:ind w:left="618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86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731"/>
        </w:tabs>
        <w:ind w:left="402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891"/>
        </w:tabs>
        <w:ind w:left="618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86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731"/>
        </w:tabs>
        <w:ind w:left="402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891"/>
        </w:tabs>
        <w:ind w:left="618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42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szCs w:val="24"/>
        <w:iCs w:val="false"/>
        <w:bCs w:val="false"/>
        <w:w w:val="100"/>
        <w:emboss w:val="false"/>
        <w:imprint w:val="false"/>
        <w:rFonts w:ascii="Arial" w:hAnsi="Arial" w:eastAsia="Arial" w:cs="Aria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1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186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258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30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3731"/>
        </w:tabs>
        <w:ind w:left="402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474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465" w:hanging="4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5891"/>
        </w:tabs>
        <w:ind w:left="6185" w:hanging="36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lvl w:ilvl="0">
        <w:start w:val="1"/>
        <w:numFmt w:val="decimal"/>
        <w:lvlText w:val="(%1)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08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86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731"/>
          </w:tabs>
          <w:ind w:left="402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891"/>
          </w:tabs>
          <w:ind w:left="618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8">
    <w:abstractNumId w:val="1"/>
    <w:lvlOverride w:ilvl="0">
      <w:lvl w:ilvl="0">
        <w:start w:val="1"/>
        <w:numFmt w:val="decimal"/>
        <w:lvlText w:val="(%1)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08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86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731"/>
          </w:tabs>
          <w:ind w:left="402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891"/>
          </w:tabs>
          <w:ind w:left="618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9">
    <w:abstractNumId w:val="1"/>
    <w:lvlOverride w:ilvl="0">
      <w:lvl w:ilvl="0">
        <w:start w:val="1"/>
        <w:numFmt w:val="decimal"/>
        <w:lvlText w:val="(%1)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08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86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731"/>
          </w:tabs>
          <w:ind w:left="402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891"/>
          </w:tabs>
          <w:ind w:left="618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  <w:num w:numId="10">
    <w:abstractNumId w:val="1"/>
    <w:lvlOverride w:ilvl="0">
      <w:lvl w:ilvl="0">
        <w:start w:val="1"/>
        <w:numFmt w:val="decimal"/>
        <w:lvlText w:val="(%1)"/>
        <w:lvlJc w:val="left"/>
        <w:pPr>
          <w:tabs>
            <w:tab w:val="num" w:pos="0"/>
          </w:tabs>
          <w:ind w:left="42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4"/>
          <w:sz w:val="24"/>
          <w:spacing w:val="0"/>
          <w:i w:val="false"/>
          <w:b w:val="false"/>
          <w:kern w:val="0"/>
          <w:szCs w:val="24"/>
          <w:iCs w:val="false"/>
          <w:bCs w:val="false"/>
          <w:w w:val="100"/>
          <w:emboss w:val="false"/>
          <w:imprint w:val="false"/>
          <w:rFonts w:ascii="Arial" w:hAnsi="Arial" w:eastAsia="Arial" w:cs="Arial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08"/>
          </w:tabs>
          <w:ind w:left="11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2">
      <w:lvl w:ilvl="2">
        <w:start w:val="1"/>
        <w:numFmt w:val="lowerRoman"/>
        <w:suff w:val="nothing"/>
        <w:lvlText w:val="%3."/>
        <w:lvlJc w:val="left"/>
        <w:pPr>
          <w:tabs>
            <w:tab w:val="num" w:pos="0"/>
          </w:tabs>
          <w:ind w:left="186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num" w:pos="0"/>
          </w:tabs>
          <w:ind w:left="258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tabs>
            <w:tab w:val="num" w:pos="0"/>
          </w:tabs>
          <w:ind w:left="330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3731"/>
          </w:tabs>
          <w:ind w:left="402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num" w:pos="0"/>
          </w:tabs>
          <w:ind w:left="474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7">
      <w:lvl w:ilvl="7">
        <w:start w:val="1"/>
        <w:numFmt w:val="lowerLetter"/>
        <w:suff w:val="nothing"/>
        <w:lvlText w:val="%8."/>
        <w:lvlJc w:val="left"/>
        <w:pPr>
          <w:tabs>
            <w:tab w:val="num" w:pos="0"/>
          </w:tabs>
          <w:ind w:left="5465" w:hanging="42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891"/>
          </w:tabs>
          <w:ind w:left="6185" w:hanging="36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kern w:val="0"/>
          <w:w w:val="100"/>
          <w:emboss w:val="false"/>
          <w:imprint w:val="false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Nadpis2">
    <w:name w:val="Heading 2"/>
    <w:next w:val="Normal"/>
    <w:qFormat/>
    <w:pPr>
      <w:keepNext w:val="true"/>
      <w:widowControl/>
      <w:suppressAutoHyphens w:val="true"/>
      <w:bidi w:val="0"/>
      <w:spacing w:before="0" w:after="0"/>
      <w:jc w:val="both"/>
      <w:outlineLvl w:val="1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single" w:color="000000"/>
      <w:lang w:val="cs-CZ" w:eastAsia="cs-CZ" w:bidi="ar-SA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al"/>
    <w:qFormat/>
    <w:pPr>
      <w:widowControl/>
      <w:suppressAutoHyphens w:val="true"/>
      <w:bidi w:val="0"/>
      <w:spacing w:before="240" w:after="60"/>
      <w:jc w:val="left"/>
      <w:outlineLvl w:val="4"/>
    </w:pPr>
    <w:rPr>
      <w:rFonts w:ascii="Times New Roman" w:hAnsi="Times New Roman" w:eastAsia="Arial Unicode MS" w:cs="Arial Unicode MS"/>
      <w:b/>
      <w:bCs/>
      <w:i/>
      <w:iCs/>
      <w:color w:val="000000"/>
      <w:kern w:val="0"/>
      <w:sz w:val="26"/>
      <w:szCs w:val="26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u w:val="single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 zápatí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cs-CZ" w:eastAsia="cs-CZ" w:bidi="ar-SA"/>
      <w14:textOutline w14:w="0" w14:cap="flat" w14:cmpd="sng" w14:algn="ctr">
        <w14:noFill/>
        <w14:prstDash w14:val="solid"/>
        <w14:bevel/>
      </w14:textOutline>
    </w:rPr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pPr>
      <w:widowControl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NormlnIMP" w:customStyle="1">
    <w:name w:val="Normální_IMP"/>
    <w:qFormat/>
    <w:pPr>
      <w:widowControl/>
      <w:suppressAutoHyphens w:val="true"/>
      <w:bidi w:val="0"/>
      <w:spacing w:lineRule="auto" w:line="228" w:before="0" w:after="0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Arial Unicode MS" w:cs="Arial Unicode MS"/>
      <w:color w:val="000000"/>
      <w:kern w:val="0"/>
      <w:sz w:val="22"/>
      <w:szCs w:val="22"/>
      <w:u w:val="none" w:color="000000"/>
      <w:lang w:val="cs-CZ" w:eastAsia="cs-CZ" w:bidi="ar-SA"/>
    </w:rPr>
  </w:style>
  <w:style w:type="paragraph" w:styleId="Poznmkapodarou">
    <w:name w:val="Footnote Text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u w:val="none" w:color="000000"/>
      <w:lang w:val="cs-CZ" w:eastAsia="cs-CZ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Seznamoslovan" w:customStyle="1">
    <w:name w:val="Seznam očíslovaný"/>
    <w:qFormat/>
    <w:pPr>
      <w:widowControl w:val="false"/>
      <w:tabs>
        <w:tab w:val="clear" w:pos="708"/>
        <w:tab w:val="left" w:pos="6480" w:leader="none"/>
      </w:tabs>
      <w:suppressAutoHyphens w:val="true"/>
      <w:bidi w:val="0"/>
      <w:spacing w:before="0" w:after="113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Textparagrafu" w:customStyle="1">
    <w:name w:val="Text paragrafu"/>
    <w:qFormat/>
    <w:pPr>
      <w:widowControl/>
      <w:suppressAutoHyphens w:val="true"/>
      <w:bidi w:val="0"/>
      <w:spacing w:before="240" w:after="0"/>
      <w:ind w:firstLine="425"/>
      <w:jc w:val="both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BodyText2">
    <w:name w:val="Body Text 2"/>
    <w:qFormat/>
    <w:pPr>
      <w:widowControl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cs-CZ" w:eastAsia="cs-CZ" w:bidi="ar-SA"/>
    </w:rPr>
  </w:style>
  <w:style w:type="paragraph" w:styleId="NormalWeb">
    <w:name w:val="Normal (Web)"/>
    <w:basedOn w:val="Normal"/>
    <w:uiPriority w:val="99"/>
    <w:unhideWhenUsed/>
    <w:qFormat/>
    <w:rsid w:val="004147c9"/>
    <w:pPr/>
    <w:rPr>
      <w:rFonts w:eastAsia="Helvetica Neue" w:cs="Times New Roman" w:eastAsiaTheme="minorHAnsi"/>
      <w:color w:val="auto"/>
    </w:rPr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ovanstyl1" w:customStyle="1">
    <w:name w:val="Importovaný styl 1"/>
    <w:qFormat/>
  </w:style>
  <w:style w:type="numbering" w:styleId="Importovanstyl3" w:customStyle="1">
    <w:name w:val="Importovaný styl 3"/>
    <w:qFormat/>
  </w:style>
  <w:style w:type="numbering" w:styleId="Importovanstyl4" w:customStyle="1">
    <w:name w:val="Importovaný styl 4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LibreOffice/7.0.4.2$Windows_X86_64 LibreOffice_project/dcf040e67528d9187c66b2379df5ea4407429775</Application>
  <AppVersion>15.0000</AppVersion>
  <Pages>2</Pages>
  <Words>398</Words>
  <Characters>2184</Characters>
  <CharactersWithSpaces>2577</CharactersWithSpaces>
  <Paragraphs>31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2023-03-31T10:59:00Z</dcterms:created>
  <dc:creator>VÁŇOVÁ Eva, Mgr.</dc:creator>
  <dc:description/>
  <dc:language>cs-CZ</dc:language>
  <cp:lastModifiedBy/>
  <dcterms:modified xsi:type="dcterms:W3CDTF">2023-04-03T08:49:53Z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