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D729" w14:textId="77777777" w:rsidR="00C53E0B" w:rsidRPr="00237726" w:rsidRDefault="00C53E0B" w:rsidP="003F03D5">
      <w:pPr>
        <w:pStyle w:val="Zhlav"/>
        <w:tabs>
          <w:tab w:val="clear" w:pos="4536"/>
          <w:tab w:val="clear" w:pos="9072"/>
        </w:tabs>
      </w:pPr>
    </w:p>
    <w:p w14:paraId="44644B31" w14:textId="628D5FAD" w:rsidR="00A541F2" w:rsidRPr="00237726" w:rsidRDefault="00A541F2" w:rsidP="00A541F2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56A56639" w14:textId="6E154EDB" w:rsidR="00A541F2" w:rsidRDefault="00A541F2" w:rsidP="00A541F2">
      <w:pPr>
        <w:jc w:val="center"/>
        <w:rPr>
          <w:rFonts w:ascii="Arial" w:hAnsi="Arial" w:cs="Arial"/>
          <w:b/>
        </w:rPr>
      </w:pPr>
      <w:bookmarkStart w:id="0" w:name="_Hlk87867264"/>
      <w:r w:rsidRPr="00237726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místním poplatku z pobytu</w:t>
      </w:r>
    </w:p>
    <w:p w14:paraId="6F5D0438" w14:textId="77777777" w:rsidR="00A541F2" w:rsidRPr="00237726" w:rsidRDefault="00A541F2" w:rsidP="00A541F2">
      <w:pPr>
        <w:jc w:val="center"/>
        <w:rPr>
          <w:rFonts w:ascii="Arial" w:hAnsi="Arial" w:cs="Arial"/>
          <w:b/>
          <w:bCs/>
          <w:sz w:val="26"/>
          <w:szCs w:val="26"/>
        </w:rPr>
      </w:pPr>
    </w:p>
    <w:bookmarkEnd w:id="0"/>
    <w:p w14:paraId="09F1CEC5" w14:textId="4D4C9D0A" w:rsidR="00A541F2" w:rsidRPr="00A541F2" w:rsidRDefault="00A541F2" w:rsidP="00A541F2">
      <w:pPr>
        <w:widowControl/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 xml:space="preserve">Zastupitelstvo města Lipnice nad Sázavou se na svém zasedání </w:t>
      </w:r>
      <w:r w:rsidR="00F236E2">
        <w:rPr>
          <w:rFonts w:ascii="Arial" w:hAnsi="Arial" w:cs="Arial"/>
        </w:rPr>
        <w:t>dne 23. listopadu 2023 usnesením č. 90/2023 usneslo vydat</w:t>
      </w:r>
      <w:r w:rsidRPr="00A541F2">
        <w:rPr>
          <w:rFonts w:ascii="Arial" w:eastAsia="Arial" w:hAnsi="Arial" w:cs="Arial"/>
          <w:kern w:val="3"/>
          <w:lang w:eastAsia="zh-CN" w:bidi="hi-IN"/>
        </w:rP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C961424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448F61E0" w14:textId="77777777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Město Lipnice nad Sázavou touto vyhláškou zavádí místní poplatek z pobytu (dále jen „poplatek“).</w:t>
      </w:r>
    </w:p>
    <w:p w14:paraId="4BAA9C13" w14:textId="77777777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Správcem poplatku je městský úřad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6B326C9A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Předmět, poplatník a plátce poplatku</w:t>
      </w:r>
    </w:p>
    <w:p w14:paraId="087D38C6" w14:textId="77777777" w:rsidR="00A541F2" w:rsidRPr="00A541F2" w:rsidRDefault="00A541F2" w:rsidP="00A541F2">
      <w:pPr>
        <w:widowControl/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46F7BBE7" w14:textId="77777777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Poplatníkem poplatku je osoba, která ve městě není přihlášená (dále jen „poplatník“)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28F05AB2" w14:textId="77777777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Plátcem poplatku je poskytovatel úplatného pobytu (dále jen „plátce“). Plátce je povinen vybrat poplatek od poplatníka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27D426F9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10E7DCCD" w14:textId="0E33EE25" w:rsidR="00A541F2" w:rsidRPr="00A541F2" w:rsidRDefault="00A541F2" w:rsidP="00A541F2">
      <w:pPr>
        <w:widowControl/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Plátce je povinen podat správci poplatku ohlášení nejpozději do </w:t>
      </w:r>
      <w:r w:rsidR="00D80D40">
        <w:rPr>
          <w:rFonts w:ascii="Arial" w:eastAsia="Arial" w:hAnsi="Arial" w:cs="Arial"/>
          <w:kern w:val="3"/>
          <w:lang w:eastAsia="zh-CN" w:bidi="hi-IN"/>
        </w:rPr>
        <w:t>15</w:t>
      </w:r>
      <w:r w:rsidRPr="00A541F2">
        <w:rPr>
          <w:rFonts w:ascii="Arial" w:eastAsia="Arial" w:hAnsi="Arial" w:cs="Arial"/>
          <w:kern w:val="3"/>
          <w:lang w:eastAsia="zh-CN" w:bidi="hi-IN"/>
        </w:rPr>
        <w:t xml:space="preserve"> dnů od zahájení činnosti spočívající v poskytování úplatného pobytu; údaje uváděné v ohlášení upravuje zákon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2A0E5CBF" w14:textId="013FEFB2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Dojde-li ke změně údajů uvedených v ohlášení, je plátce povinen tuto změnu oznámit do </w:t>
      </w:r>
      <w:r w:rsidR="00D80D40">
        <w:rPr>
          <w:rFonts w:ascii="Arial" w:eastAsia="Arial" w:hAnsi="Arial" w:cs="Arial"/>
          <w:kern w:val="3"/>
          <w:lang w:eastAsia="zh-CN" w:bidi="hi-IN"/>
        </w:rPr>
        <w:t>15</w:t>
      </w:r>
      <w:r w:rsidRPr="00A541F2">
        <w:rPr>
          <w:rFonts w:ascii="Arial" w:eastAsia="Arial" w:hAnsi="Arial" w:cs="Arial"/>
          <w:kern w:val="3"/>
          <w:lang w:eastAsia="zh-CN" w:bidi="hi-IN"/>
        </w:rPr>
        <w:t xml:space="preserve"> dnů ode dne, kdy nastala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753A3444" w14:textId="77777777" w:rsidR="00295F05" w:rsidRDefault="00295F05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</w:p>
    <w:p w14:paraId="0408CEAD" w14:textId="435D816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Evidenční povinnost</w:t>
      </w:r>
    </w:p>
    <w:p w14:paraId="60ED7AAB" w14:textId="77777777" w:rsidR="00A541F2" w:rsidRPr="00A541F2" w:rsidRDefault="00A541F2" w:rsidP="00A541F2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Evidenční povinnost plátce, včetně povinnosti vést evidenční knihu, upravuje zákon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1187D854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2382B8B4" w14:textId="77777777" w:rsidR="00A541F2" w:rsidRPr="00A541F2" w:rsidRDefault="00A541F2" w:rsidP="00A541F2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Sazba poplatku činí 20 Kč za každý započatý den pobytu, s výjimkou dne počátku pobytu.</w:t>
      </w:r>
    </w:p>
    <w:p w14:paraId="68F48EFB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091E18DD" w14:textId="77777777" w:rsidR="00A541F2" w:rsidRPr="00A541F2" w:rsidRDefault="00A541F2" w:rsidP="00A541F2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Plátce odvede vybraný poplatek správci poplatku nejpozději do 15. dne následujícího pololetí.</w:t>
      </w:r>
    </w:p>
    <w:p w14:paraId="62AC9C6B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12F98F50" w14:textId="77777777" w:rsidR="00A541F2" w:rsidRPr="00A541F2" w:rsidRDefault="00A541F2" w:rsidP="00A541F2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Od poplatku z pobytu jsou osvobozeny osoby vymezené v zákoně o místních poplatcích</w:t>
      </w:r>
      <w:r w:rsidRPr="00A541F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8"/>
      </w:r>
      <w:r w:rsidRPr="00A541F2">
        <w:rPr>
          <w:rFonts w:ascii="Arial" w:eastAsia="Arial" w:hAnsi="Arial" w:cs="Arial"/>
          <w:kern w:val="3"/>
          <w:lang w:eastAsia="zh-CN" w:bidi="hi-IN"/>
        </w:rPr>
        <w:t>.</w:t>
      </w:r>
    </w:p>
    <w:p w14:paraId="0AFBACC2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741F46E5" w14:textId="77777777" w:rsidR="00A541F2" w:rsidRPr="00A541F2" w:rsidRDefault="00A541F2" w:rsidP="00A541F2">
      <w:pPr>
        <w:widowControl/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6EEFB6C6" w14:textId="77777777" w:rsidR="00A541F2" w:rsidRPr="00A541F2" w:rsidRDefault="00A541F2" w:rsidP="00A541F2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Zrušuje se obecně závazná vyhláška č. 1/2021, o místním poplatku z pobytu, ze dne 18. února 2021.</w:t>
      </w:r>
    </w:p>
    <w:p w14:paraId="7D43C63B" w14:textId="77777777" w:rsidR="00A541F2" w:rsidRPr="00A541F2" w:rsidRDefault="00A541F2" w:rsidP="00A541F2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A541F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2C18D2D3" w14:textId="77777777" w:rsidR="00A541F2" w:rsidRPr="00A541F2" w:rsidRDefault="00A541F2" w:rsidP="00A541F2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A541F2">
        <w:rPr>
          <w:rFonts w:ascii="Arial" w:eastAsia="Arial" w:hAnsi="Arial" w:cs="Arial"/>
          <w:kern w:val="3"/>
          <w:lang w:eastAsia="zh-CN" w:bidi="hi-IN"/>
        </w:rP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541F2" w:rsidRPr="00A541F2" w14:paraId="4926FD5C" w14:textId="77777777" w:rsidTr="00D80D40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F5CB933" w14:textId="77777777" w:rsidR="00A541F2" w:rsidRPr="00A541F2" w:rsidRDefault="00A541F2" w:rsidP="00A541F2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A541F2">
              <w:rPr>
                <w:rFonts w:ascii="Arial" w:eastAsia="Arial" w:hAnsi="Arial" w:cs="Arial"/>
                <w:kern w:val="3"/>
                <w:lang w:eastAsia="zh-CN" w:bidi="hi-IN"/>
              </w:rPr>
              <w:t>Ing. Zdeněk Rafaj v. r.</w:t>
            </w:r>
            <w:r w:rsidRPr="00A541F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39BD7C" w14:textId="77777777" w:rsidR="00A541F2" w:rsidRPr="00A541F2" w:rsidRDefault="00A541F2" w:rsidP="00A541F2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A541F2">
              <w:rPr>
                <w:rFonts w:ascii="Arial" w:eastAsia="Arial" w:hAnsi="Arial" w:cs="Arial"/>
                <w:kern w:val="3"/>
                <w:lang w:eastAsia="zh-CN" w:bidi="hi-IN"/>
              </w:rPr>
              <w:t>Bc. Marek Hanzlík v. r.</w:t>
            </w:r>
            <w:r w:rsidRPr="00A541F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A541F2" w:rsidRPr="00A541F2" w14:paraId="132C2355" w14:textId="77777777" w:rsidTr="00D80D40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29EEA" w14:textId="77777777" w:rsidR="00A541F2" w:rsidRPr="00A541F2" w:rsidRDefault="00A541F2" w:rsidP="00A541F2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2777CF" w14:textId="77777777" w:rsidR="00A541F2" w:rsidRPr="00A541F2" w:rsidRDefault="00A541F2" w:rsidP="00A541F2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7D058562" w14:textId="77777777" w:rsidR="00604F9E" w:rsidRPr="00604F9E" w:rsidRDefault="00604F9E" w:rsidP="00A541F2">
      <w:pPr>
        <w:spacing w:line="312" w:lineRule="auto"/>
        <w:jc w:val="center"/>
        <w:rPr>
          <w:sz w:val="18"/>
          <w:szCs w:val="18"/>
        </w:rPr>
      </w:pPr>
    </w:p>
    <w:sectPr w:rsidR="00604F9E" w:rsidRPr="00604F9E" w:rsidSect="00C53E0B">
      <w:headerReference w:type="default" r:id="rId8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CE2F" w14:textId="77777777" w:rsidR="00F874D3" w:rsidRDefault="00F874D3" w:rsidP="0094196B">
      <w:r>
        <w:separator/>
      </w:r>
    </w:p>
  </w:endnote>
  <w:endnote w:type="continuationSeparator" w:id="0">
    <w:p w14:paraId="5DD394C0" w14:textId="77777777" w:rsidR="00F874D3" w:rsidRDefault="00F874D3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BA3F" w14:textId="77777777" w:rsidR="00F874D3" w:rsidRDefault="00F874D3" w:rsidP="0094196B">
      <w:r>
        <w:separator/>
      </w:r>
    </w:p>
  </w:footnote>
  <w:footnote w:type="continuationSeparator" w:id="0">
    <w:p w14:paraId="4C2E4E63" w14:textId="77777777" w:rsidR="00F874D3" w:rsidRDefault="00F874D3" w:rsidP="0094196B">
      <w:r>
        <w:continuationSeparator/>
      </w:r>
    </w:p>
  </w:footnote>
  <w:footnote w:id="1">
    <w:p w14:paraId="7C3FAB2A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9666F1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1F7E89D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EA3D0A9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D88C685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334E870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FC5B794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F2066A8" w14:textId="77777777" w:rsidR="00A541F2" w:rsidRDefault="00A541F2" w:rsidP="00A541F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423CD3"/>
    <w:multiLevelType w:val="multilevel"/>
    <w:tmpl w:val="71EAB6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3"/>
  </w:num>
  <w:num w:numId="3" w16cid:durableId="792286740">
    <w:abstractNumId w:val="8"/>
  </w:num>
  <w:num w:numId="4" w16cid:durableId="1904027451">
    <w:abstractNumId w:val="9"/>
  </w:num>
  <w:num w:numId="5" w16cid:durableId="238708890">
    <w:abstractNumId w:val="20"/>
  </w:num>
  <w:num w:numId="6" w16cid:durableId="423653167">
    <w:abstractNumId w:val="11"/>
  </w:num>
  <w:num w:numId="7" w16cid:durableId="1517844520">
    <w:abstractNumId w:val="12"/>
  </w:num>
  <w:num w:numId="8" w16cid:durableId="1156842620">
    <w:abstractNumId w:val="1"/>
  </w:num>
  <w:num w:numId="9" w16cid:durableId="694692284">
    <w:abstractNumId w:val="10"/>
  </w:num>
  <w:num w:numId="10" w16cid:durableId="658191647">
    <w:abstractNumId w:val="7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4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6"/>
  </w:num>
  <w:num w:numId="21" w16cid:durableId="1160268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48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071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8140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70D2"/>
    <w:rsid w:val="000476D5"/>
    <w:rsid w:val="000567F5"/>
    <w:rsid w:val="000640BD"/>
    <w:rsid w:val="000668B0"/>
    <w:rsid w:val="000700E3"/>
    <w:rsid w:val="0007524E"/>
    <w:rsid w:val="000A0DEE"/>
    <w:rsid w:val="000B7340"/>
    <w:rsid w:val="000C0323"/>
    <w:rsid w:val="000C1C61"/>
    <w:rsid w:val="000D6F11"/>
    <w:rsid w:val="000E30D4"/>
    <w:rsid w:val="000E490A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95F05"/>
    <w:rsid w:val="002A14A3"/>
    <w:rsid w:val="002B29AC"/>
    <w:rsid w:val="002B31C5"/>
    <w:rsid w:val="002D19F3"/>
    <w:rsid w:val="002D3880"/>
    <w:rsid w:val="002D5755"/>
    <w:rsid w:val="00320805"/>
    <w:rsid w:val="00332A83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A696E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D3405"/>
    <w:rsid w:val="007E4C9E"/>
    <w:rsid w:val="008215AB"/>
    <w:rsid w:val="00826074"/>
    <w:rsid w:val="0083355E"/>
    <w:rsid w:val="0083433C"/>
    <w:rsid w:val="00834995"/>
    <w:rsid w:val="008427E6"/>
    <w:rsid w:val="00845BC0"/>
    <w:rsid w:val="00866B3F"/>
    <w:rsid w:val="0088066B"/>
    <w:rsid w:val="00883473"/>
    <w:rsid w:val="00895E00"/>
    <w:rsid w:val="008A28D4"/>
    <w:rsid w:val="008A3B65"/>
    <w:rsid w:val="008C32EF"/>
    <w:rsid w:val="008E487F"/>
    <w:rsid w:val="0094196B"/>
    <w:rsid w:val="00956BFC"/>
    <w:rsid w:val="009652CF"/>
    <w:rsid w:val="00965385"/>
    <w:rsid w:val="00966618"/>
    <w:rsid w:val="00996B46"/>
    <w:rsid w:val="009B194E"/>
    <w:rsid w:val="009C55BA"/>
    <w:rsid w:val="009E202F"/>
    <w:rsid w:val="009E33A2"/>
    <w:rsid w:val="009E6288"/>
    <w:rsid w:val="009F1840"/>
    <w:rsid w:val="009F794E"/>
    <w:rsid w:val="00A111D5"/>
    <w:rsid w:val="00A12F21"/>
    <w:rsid w:val="00A140D6"/>
    <w:rsid w:val="00A43DE9"/>
    <w:rsid w:val="00A541F2"/>
    <w:rsid w:val="00A64021"/>
    <w:rsid w:val="00AA0D04"/>
    <w:rsid w:val="00AB1292"/>
    <w:rsid w:val="00AB6E9C"/>
    <w:rsid w:val="00AB790E"/>
    <w:rsid w:val="00AD7034"/>
    <w:rsid w:val="00AF50A6"/>
    <w:rsid w:val="00B07820"/>
    <w:rsid w:val="00B21B35"/>
    <w:rsid w:val="00B4497D"/>
    <w:rsid w:val="00BA3B29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767EC"/>
    <w:rsid w:val="00C90136"/>
    <w:rsid w:val="00CA0868"/>
    <w:rsid w:val="00CA39EA"/>
    <w:rsid w:val="00CA5164"/>
    <w:rsid w:val="00CA5356"/>
    <w:rsid w:val="00CC071A"/>
    <w:rsid w:val="00D06E83"/>
    <w:rsid w:val="00D23969"/>
    <w:rsid w:val="00D33356"/>
    <w:rsid w:val="00D468B1"/>
    <w:rsid w:val="00D723E2"/>
    <w:rsid w:val="00D80D40"/>
    <w:rsid w:val="00D82F81"/>
    <w:rsid w:val="00D942E7"/>
    <w:rsid w:val="00DB3078"/>
    <w:rsid w:val="00DC349D"/>
    <w:rsid w:val="00DC4B62"/>
    <w:rsid w:val="00DE7207"/>
    <w:rsid w:val="00DE74BA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236E2"/>
    <w:rsid w:val="00F360B0"/>
    <w:rsid w:val="00F403DB"/>
    <w:rsid w:val="00F5290E"/>
    <w:rsid w:val="00F6251B"/>
    <w:rsid w:val="00F874D3"/>
    <w:rsid w:val="00FA1DB9"/>
    <w:rsid w:val="00FA365F"/>
    <w:rsid w:val="00FB02FD"/>
    <w:rsid w:val="00FB5957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4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541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A541F2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35</cp:revision>
  <cp:lastPrinted>2023-12-06T15:28:00Z</cp:lastPrinted>
  <dcterms:created xsi:type="dcterms:W3CDTF">2021-11-19T11:24:00Z</dcterms:created>
  <dcterms:modified xsi:type="dcterms:W3CDTF">2023-12-06T15:59:00Z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