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536" w:leader="none"/>
        </w:tabs>
        <w:spacing w:lineRule="auto" w:line="312"/>
        <w:jc w:val="center"/>
        <w:rPr>
          <w:rFonts w:ascii="Arial" w:hAnsi="Arial" w:cs="Arial"/>
          <w:b/>
          <w:caps/>
          <w:spacing w:val="20"/>
          <w:sz w:val="32"/>
          <w:szCs w:val="32"/>
        </w:rPr>
      </w:pPr>
      <w:r>
        <w:rPr>
          <w:rFonts w:cs="Arial" w:ascii="Arial" w:hAnsi="Arial"/>
          <w:b/>
          <w:caps/>
          <w:spacing w:val="20"/>
          <w:sz w:val="32"/>
          <w:szCs w:val="32"/>
        </w:rPr>
        <w:t>OBEC JANOV</w:t>
      </w:r>
    </w:p>
    <w:p>
      <w:pPr>
        <w:pStyle w:val="Normal"/>
        <w:tabs>
          <w:tab w:val="clear" w:pos="708"/>
          <w:tab w:val="left" w:pos="4536" w:leader="none"/>
        </w:tabs>
        <w:spacing w:lineRule="auto" w:line="312"/>
        <w:jc w:val="center"/>
        <w:rPr>
          <w:rFonts w:ascii="Arial" w:hAnsi="Arial" w:cs="Arial"/>
          <w:b/>
          <w:caps/>
          <w:spacing w:val="2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2484120</wp:posOffset>
            </wp:positionH>
            <wp:positionV relativeFrom="paragraph">
              <wp:posOffset>247015</wp:posOffset>
            </wp:positionV>
            <wp:extent cx="542290" cy="584835"/>
            <wp:effectExtent l="0" t="0" r="0" b="0"/>
            <wp:wrapSquare wrapText="bothSides"/>
            <wp:docPr id="1" name="Obrázek 10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0" descr="Zna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caps/>
          <w:spacing w:val="20"/>
        </w:rPr>
        <w:t>Zastupitelstvo obce</w:t>
      </w:r>
    </w:p>
    <w:p>
      <w:pPr>
        <w:pStyle w:val="Zhlav"/>
        <w:tabs>
          <w:tab w:val="left" w:pos="4536" w:leader="none"/>
          <w:tab w:val="right" w:pos="9072" w:leader="none"/>
        </w:tabs>
        <w:rPr/>
      </w:pPr>
      <w:r>
        <w:rPr/>
      </w:r>
    </w:p>
    <w:p>
      <w:pPr>
        <w:pStyle w:val="Normal"/>
        <w:spacing w:before="0" w:after="12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1270" distL="635" distR="0" simplePos="0" locked="0" layoutInCell="0" allowOverlap="1" relativeHeight="3" wp14:anchorId="571FC9E7">
                <wp:simplePos x="0" y="0"/>
                <wp:positionH relativeFrom="column">
                  <wp:posOffset>34925</wp:posOffset>
                </wp:positionH>
                <wp:positionV relativeFrom="paragraph">
                  <wp:posOffset>145415</wp:posOffset>
                </wp:positionV>
                <wp:extent cx="5680075" cy="2540"/>
                <wp:effectExtent l="635" t="0" r="0" b="1270"/>
                <wp:wrapNone/>
                <wp:docPr id="2" name="Přímá spojnice se šipkou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0080" cy="2520"/>
                        </a:xfrm>
                        <a:custGeom>
                          <a:avLst/>
                          <a:gdLst>
                            <a:gd name="textAreaLeft" fmla="*/ 0 w 3220200"/>
                            <a:gd name="textAreaRight" fmla="*/ 3220920 w 3220200"/>
                            <a:gd name="textAreaTop" fmla="*/ 0 h 1440"/>
                            <a:gd name="textAreaBottom" fmla="*/ 2160 h 144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Obecně závazná vyhláška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 xml:space="preserve">Zastupitelstvo obce Janov se na svém zasedání dne </w:t>
      </w:r>
      <w:r>
        <w:rPr>
          <w:rFonts w:cs="Arial" w:ascii="Arial" w:hAnsi="Arial"/>
          <w:b w:val="false"/>
          <w:sz w:val="22"/>
          <w:szCs w:val="22"/>
          <w:shd w:fill="auto" w:val="clear"/>
        </w:rPr>
        <w:t>13.12.</w:t>
      </w:r>
      <w:r>
        <w:rPr>
          <w:rFonts w:cs="Arial" w:ascii="Arial" w:hAnsi="Arial"/>
          <w:b w:val="false"/>
          <w:sz w:val="22"/>
          <w:szCs w:val="22"/>
        </w:rPr>
        <w:t>2023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Janov touto vyhláškou zavádí místní poplatek za obecní systém odpadového hospodářství (dále jen „poplatek“).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3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6"/>
        </w:numPr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</w:t>
      </w:r>
      <w:r>
        <w:rPr>
          <w:rStyle w:val="Ukotvenpoznmkypodarou"/>
          <w:sz w:val="22"/>
          <w:szCs w:val="22"/>
        </w:rPr>
        <w:footnoteReference w:id="5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6"/>
        </w:numPr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60</w:t>
      </w:r>
      <w:r>
        <w:rPr>
          <w:rFonts w:cs="Arial" w:ascii="Arial" w:hAnsi="Arial"/>
          <w:sz w:val="22"/>
          <w:szCs w:val="22"/>
          <w:shd w:fill="auto" w:val="clear"/>
        </w:rPr>
        <w:t>0 Kč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se v případě, že poplatková povinnost vznikla z důvodu přihlášení fyzické osoby v obci, snižuje o jednu dvanáctinu </w:t>
      </w:r>
      <w:bookmarkStart w:id="0" w:name="_Hlk141031074"/>
      <w:r>
        <w:rPr>
          <w:rFonts w:cs="Arial" w:ascii="Arial" w:hAnsi="Arial"/>
          <w:sz w:val="22"/>
          <w:szCs w:val="22"/>
        </w:rPr>
        <w:t>za každý kalendářní měsíc</w:t>
      </w:r>
      <w:bookmarkEnd w:id="0"/>
      <w:r>
        <w:rPr>
          <w:rFonts w:cs="Arial" w:ascii="Arial" w:hAnsi="Arial"/>
          <w:sz w:val="22"/>
          <w:szCs w:val="22"/>
        </w:rPr>
        <w:t>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 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31. května 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>
      <w:pPr>
        <w:pStyle w:val="Normal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5"/>
        </w:numPr>
        <w:spacing w:lineRule="auto" w:line="264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>
      <w:pPr>
        <w:pStyle w:val="Default"/>
        <w:spacing w:lineRule="auto" w:line="264" w:before="120" w:after="60"/>
        <w:ind w:left="567" w:hanging="0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ListParagraph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Od poplatku se dále osvobozuje osoba, které poplatková povinnost vznikla z důvodu přihlášení v obci a která 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se v průběhu celého roku (od 1. ledna do 31. prosince) zdržuje mimo území obce,</w:t>
      </w:r>
    </w:p>
    <w:p>
      <w:pPr>
        <w:pStyle w:val="Normal"/>
        <w:tabs>
          <w:tab w:val="clear" w:pos="708"/>
          <w:tab w:val="left" w:pos="851" w:leader="none"/>
        </w:tabs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má místo pobytu v sídle ohlašovny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  <w:r>
        <w:rPr>
          <w:rFonts w:cs="Arial" w:ascii="Arial" w:hAnsi="Arial"/>
          <w:sz w:val="22"/>
          <w:szCs w:val="22"/>
        </w:rPr>
        <w:t>, pokud se minimálně 6 po sobě jdoucích měsíců v příslušném kalendářním roce zdržuje mimo území obce,</w:t>
      </w:r>
    </w:p>
    <w:p>
      <w:pPr>
        <w:pStyle w:val="Normal"/>
        <w:tabs>
          <w:tab w:val="clear" w:pos="708"/>
          <w:tab w:val="left" w:pos="851" w:leader="none"/>
        </w:tabs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přihlášena v č. p. 22 v Janově, v č. p. 37 a č. p. 19 v části obce Tis.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Úleva se poskytuje osobě, které poplatková povinnost vznikla z důvodu přihlášení v obci a která je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osobou studující v denní či prezenční formě studia a v průběhu studia je ubytována mimo území obce, a to ve výši 300 Kč,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která v příslušném kalendářním roce dovrší nejvýše 18 let věku, a to ve výši 300 Kč,</w:t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(3)</w:t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3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tabs>
          <w:tab w:val="clear" w:pos="708"/>
          <w:tab w:val="left" w:pos="3015" w:leader="none"/>
          <w:tab w:val="center" w:pos="4536" w:leader="none"/>
        </w:tabs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numPr>
          <w:ilvl w:val="0"/>
          <w:numId w:val="11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numPr>
          <w:ilvl w:val="0"/>
          <w:numId w:val="12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Ruší se obecně závazná vyhláška č. 3/2021, o místním poplatku za obecní systém odpadového hospodářství, ze dne 8. 12. 2021.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 1. 2024.</w:t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  <w:r>
        <w:rPr>
          <w:rFonts w:cs="Arial" w:ascii="Arial" w:hAnsi="Arial"/>
        </w:rPr>
        <w:t>..</w:t>
        <w:tab/>
        <w:tab/>
        <w:tab/>
        <w:tab/>
        <w:t>…………………………………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2"/>
          <w:szCs w:val="22"/>
        </w:rPr>
        <w:t>Vlasta Chaloupková v. r.</w:t>
        <w:tab/>
        <w:t>Ing. Terezie Dembinská v. r.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starostka </w:t>
        <w:tab/>
        <w:t>místostarostka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sz w:val="22"/>
          <w:szCs w:val="22"/>
        </w:rPr>
      </w:pPr>
      <w:r>
        <w:rPr/>
      </w:r>
      <w:bookmarkStart w:id="1" w:name="_GoBack"/>
      <w:bookmarkStart w:id="2" w:name="_GoBack"/>
      <w:bookmarkEnd w:id="2"/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Znakypropoznmkupodarou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4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Znakypropoznmkupodarou"/>
          <w:rFonts w:cs="Arial" w:ascii="Arial" w:hAnsi="Arial"/>
          <w:sz w:val="18"/>
          <w:szCs w:val="18"/>
        </w:rPr>
        <w:t xml:space="preserve"> </w:t>
      </w:r>
      <w:r>
        <w:rPr>
          <w:rStyle w:val="Znakypropoznmkupodarou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5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Znakypropoznmkupodarou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Style w:val="Znakypropoznmkupodarou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7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8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9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10h odst. 3 ve spojení s § 10o odst. 2 zákona o místních poplatcích</w:t>
      </w:r>
    </w:p>
  </w:footnote>
  <w:footnote w:id="11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2">
    <w:p>
      <w:pPr>
        <w:pStyle w:val="Poznmkapodarou"/>
        <w:tabs>
          <w:tab w:val="clear" w:pos="708"/>
          <w:tab w:val="left" w:pos="426" w:leader="none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ab/>
        <w:t>§ 10 odst. 5 a § 12 zákona č. 133/2000 Sb., o evidenci obyvatel a rodných číslech, ve znění pozdějších předpisů</w:t>
      </w:r>
    </w:p>
  </w:footnote>
  <w:footnote w:id="1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9"/>
    <w:lvlOverride w:ilvl="0">
      <w:startOverride w:val="1"/>
    </w:lvlOverride>
  </w:num>
  <w:num w:numId="12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qFormat/>
    <w:rsid w:val="00131160"/>
    <w:rPr>
      <w:lang w:val="cs-CZ" w:eastAsia="cs-CZ" w:bidi="ar-SA"/>
    </w:rPr>
  </w:style>
  <w:style w:type="character" w:styleId="Znakypropoznmkupodarou" w:customStyle="1">
    <w:name w:val="Znaky pro poznámku pod čarou"/>
    <w:qFormat/>
    <w:rsid w:val="00616ec7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ZpatChar" w:customStyle="1">
    <w:name w:val="Zápatí Char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qFormat/>
    <w:rsid w:val="00c119a6"/>
    <w:rPr/>
  </w:style>
  <w:style w:type="character" w:styleId="PedmtkomenteChar" w:customStyle="1">
    <w:name w:val="Předmět komentáře Char"/>
    <w:link w:val="Annotationsubject"/>
    <w:qFormat/>
    <w:rsid w:val="00c119a6"/>
    <w:rPr>
      <w:b/>
      <w:bCs/>
    </w:rPr>
  </w:style>
  <w:style w:type="character" w:styleId="TextbublinyChar" w:customStyle="1">
    <w:name w:val="Text bubliny Char"/>
    <w:link w:val="BalloonText"/>
    <w:qFormat/>
    <w:rsid w:val="00c119a6"/>
    <w:rPr>
      <w:rFonts w:ascii="Segoe UI" w:hAnsi="Segoe UI" w:cs="Segoe UI"/>
      <w:sz w:val="18"/>
      <w:szCs w:val="18"/>
    </w:rPr>
  </w:style>
  <w:style w:type="character" w:styleId="NzevChar" w:customStyle="1">
    <w:name w:val="Název Char"/>
    <w:basedOn w:val="DefaultParagraphFont"/>
    <w:qFormat/>
    <w:rsid w:val="0021049b"/>
    <w:rPr>
      <w:rFonts w:ascii="Arial" w:hAnsi="Arial" w:cs="Arial"/>
      <w:b/>
      <w:bCs/>
      <w:kern w:val="2"/>
      <w:sz w:val="32"/>
      <w:szCs w:val="32"/>
    </w:rPr>
  </w:style>
  <w:style w:type="character" w:styleId="Znakyprovysvtlivky">
    <w:name w:val="Znaky pro vysvětlivky"/>
    <w:qFormat/>
    <w:rPr/>
  </w:style>
  <w:style w:type="character" w:styleId="Ukotvenvysvtlivky">
    <w:name w:val="Endnote Reference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B1EFD-E0AF-4332-A58F-76D23F7D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LibreOffice/7.5.1.2$Windows_X86_64 LibreOffice_project/fcbaee479e84c6cd81291587d2ee68cba099e129</Application>
  <AppVersion>15.0000</AppVersion>
  <Pages>4</Pages>
  <Words>1011</Words>
  <Characters>5296</Characters>
  <CharactersWithSpaces>6244</CharactersWithSpaces>
  <Paragraphs>80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2023-10-11T10:01:00Z</dcterms:created>
  <dc:creator>Mgr. Lukáš Toman</dc:creator>
  <dc:description/>
  <dc:language>cs-CZ</dc:language>
  <cp:lastModifiedBy/>
  <cp:lastPrinted>2015-10-16T08:54:00Z</cp:lastPrinted>
  <dcterms:modified xsi:type="dcterms:W3CDTF">2023-12-14T07:55:37Z</dcterms:modified>
  <cp:revision>4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