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SVS/2025/064789</w:t>
              </w:r>
            </w:sdtContent>
          </w:sdt>
        </w:sdtContent>
      </w:sdt>
    </w:p>
    <w:p w14:paraId="05A2DB29" w14:textId="77777777" w:rsidR="000530FD" w:rsidRDefault="000530FD" w:rsidP="000530FD">
      <w:pPr>
        <w:jc w:val="center"/>
        <w:rPr>
          <w:rFonts w:cs="Arial"/>
          <w:b/>
          <w:bCs/>
          <w:sz w:val="28"/>
          <w:szCs w:val="28"/>
        </w:rPr>
      </w:pPr>
    </w:p>
    <w:p w14:paraId="622C5C8C" w14:textId="458E781D" w:rsidR="000530FD" w:rsidRPr="00B874AD" w:rsidRDefault="000530FD" w:rsidP="000530FD">
      <w:pPr>
        <w:jc w:val="center"/>
        <w:rPr>
          <w:rFonts w:cs="Arial"/>
          <w:b/>
          <w:bCs/>
          <w:sz w:val="28"/>
          <w:szCs w:val="28"/>
        </w:rPr>
      </w:pPr>
      <w:r w:rsidRPr="00B874AD">
        <w:rPr>
          <w:rFonts w:cs="Arial"/>
          <w:b/>
          <w:bCs/>
          <w:sz w:val="28"/>
          <w:szCs w:val="28"/>
        </w:rPr>
        <w:t>Nařízení Státní veterinární správy</w:t>
      </w:r>
    </w:p>
    <w:p w14:paraId="5AE762B7" w14:textId="77777777" w:rsidR="000530FD" w:rsidRPr="003A28C9" w:rsidRDefault="000530FD" w:rsidP="000530FD">
      <w:pPr>
        <w:ind w:firstLine="708"/>
        <w:rPr>
          <w:rFonts w:cs="Arial"/>
          <w:sz w:val="22"/>
          <w:szCs w:val="22"/>
        </w:rPr>
      </w:pPr>
      <w:r w:rsidRPr="003A28C9">
        <w:rPr>
          <w:rFonts w:cs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</w:t>
      </w:r>
      <w:r w:rsidRPr="00FA2795">
        <w:rPr>
          <w:rFonts w:cs="Arial"/>
          <w:sz w:val="22"/>
          <w:szCs w:val="22"/>
        </w:rPr>
        <w:t xml:space="preserve">na seznamu, v platném znění (dále jen „nařízení Komise (EU) 2018/1882“) a v souvislosti </w:t>
      </w:r>
      <w:bookmarkStart w:id="0" w:name="_Hlk194315743"/>
      <w:r w:rsidRPr="00FA2795">
        <w:rPr>
          <w:rFonts w:cs="Arial"/>
          <w:sz w:val="22"/>
          <w:szCs w:val="22"/>
        </w:rPr>
        <w:t xml:space="preserve">s uzavřenými pásmy v oblastech se slintavkou a kulhavkou vymezenými </w:t>
      </w:r>
      <w:r w:rsidRPr="00FA2795">
        <w:rPr>
          <w:rFonts w:cs="Arial"/>
          <w:sz w:val="22"/>
          <w:szCs w:val="22"/>
        </w:rPr>
        <w:br/>
        <w:t>v Maďarsku a Slovenské republice</w:t>
      </w:r>
      <w:bookmarkEnd w:id="0"/>
      <w:r w:rsidRPr="00FA2795">
        <w:rPr>
          <w:rFonts w:cs="Arial"/>
          <w:sz w:val="22"/>
          <w:szCs w:val="22"/>
        </w:rPr>
        <w:t xml:space="preserve"> prováděcím rozhodnutím Komise (EU) 2025/795 ze dne 14. dubna 2025, kterým se mění příloha prováděcího rozhodnutí (EU) 2025/672 o některých mimořádných opatřeních v souvislosti s ohnisky slintavky a kulhavky v Maďarsku a na Slovensku, jakož i v souladu s ustanovením § 54 odst. 1 písm</w:t>
      </w:r>
      <w:r w:rsidRPr="003A28C9">
        <w:rPr>
          <w:rFonts w:cs="Arial"/>
          <w:sz w:val="22"/>
          <w:szCs w:val="22"/>
        </w:rPr>
        <w:t xml:space="preserve">. d), l), o) a p), odst. 2 písm. c) a odst. 3 a § 57 odst. 2 veterinárního zákona nařizuje </w:t>
      </w:r>
      <w:r>
        <w:rPr>
          <w:rFonts w:cs="Arial"/>
          <w:sz w:val="22"/>
          <w:szCs w:val="22"/>
        </w:rPr>
        <w:t>následující</w:t>
      </w:r>
    </w:p>
    <w:p w14:paraId="79C2E9FB" w14:textId="77777777" w:rsidR="000530FD" w:rsidRPr="003A28C9" w:rsidRDefault="000530FD" w:rsidP="000530FD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změnu </w:t>
      </w:r>
      <w:r w:rsidRPr="003A28C9">
        <w:rPr>
          <w:rFonts w:cs="Arial"/>
          <w:b/>
          <w:bCs/>
          <w:sz w:val="22"/>
          <w:szCs w:val="22"/>
        </w:rPr>
        <w:t>mimořádn</w:t>
      </w:r>
      <w:r>
        <w:rPr>
          <w:rFonts w:cs="Arial"/>
          <w:b/>
          <w:bCs/>
          <w:sz w:val="22"/>
          <w:szCs w:val="22"/>
        </w:rPr>
        <w:t>ých</w:t>
      </w:r>
      <w:r w:rsidRPr="003A28C9">
        <w:rPr>
          <w:rFonts w:cs="Arial"/>
          <w:b/>
          <w:bCs/>
          <w:sz w:val="22"/>
          <w:szCs w:val="22"/>
        </w:rPr>
        <w:t xml:space="preserve"> veterinární</w:t>
      </w:r>
      <w:r>
        <w:rPr>
          <w:rFonts w:cs="Arial"/>
          <w:b/>
          <w:bCs/>
          <w:sz w:val="22"/>
          <w:szCs w:val="22"/>
        </w:rPr>
        <w:t>ch</w:t>
      </w:r>
      <w:r w:rsidRPr="003A28C9">
        <w:rPr>
          <w:rFonts w:cs="Arial"/>
          <w:b/>
          <w:bCs/>
          <w:sz w:val="22"/>
          <w:szCs w:val="22"/>
        </w:rPr>
        <w:t xml:space="preserve"> opatření</w:t>
      </w:r>
      <w:r>
        <w:rPr>
          <w:rFonts w:cs="Arial"/>
          <w:b/>
          <w:bCs/>
          <w:sz w:val="22"/>
          <w:szCs w:val="22"/>
        </w:rPr>
        <w:t xml:space="preserve"> č.j. </w:t>
      </w:r>
      <w:r w:rsidRPr="00B200CF">
        <w:rPr>
          <w:rFonts w:cs="Arial"/>
          <w:b/>
          <w:bCs/>
          <w:sz w:val="22"/>
          <w:szCs w:val="22"/>
        </w:rPr>
        <w:t>SVS/2025/054477</w:t>
      </w:r>
      <w:r>
        <w:rPr>
          <w:rFonts w:cs="Arial"/>
          <w:b/>
          <w:bCs/>
          <w:sz w:val="22"/>
          <w:szCs w:val="22"/>
        </w:rPr>
        <w:t xml:space="preserve"> ze dne 7. 4. 2025 ve znění mimořádných veterinárních opatření č.j. SVS/2025/058310 ze dne 14. 4. 2025 vydaných </w:t>
      </w:r>
      <w:r w:rsidRPr="003A28C9">
        <w:rPr>
          <w:rFonts w:cs="Arial"/>
          <w:b/>
          <w:bCs/>
          <w:sz w:val="22"/>
          <w:szCs w:val="22"/>
        </w:rPr>
        <w:t>k ochraně státního území České republiky před nebezpečím zavlečení nebezpečné nákazy slintavky a kulhavky (dále jen „SLAK“) z Maďarska a Slovenské republiky:</w:t>
      </w:r>
    </w:p>
    <w:p w14:paraId="45974AC7" w14:textId="77777777" w:rsidR="000530FD" w:rsidRDefault="000530FD" w:rsidP="000530FD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581C933A" w14:textId="77777777" w:rsidR="000530FD" w:rsidRPr="00430B28" w:rsidRDefault="000530FD" w:rsidP="000530FD">
      <w:pPr>
        <w:jc w:val="center"/>
        <w:rPr>
          <w:rFonts w:cs="Arial"/>
          <w:b/>
          <w:bCs/>
          <w:sz w:val="22"/>
          <w:szCs w:val="22"/>
        </w:rPr>
      </w:pPr>
    </w:p>
    <w:p w14:paraId="5B48F73A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 článku 1 odstavec 2 zní: </w:t>
      </w:r>
    </w:p>
    <w:p w14:paraId="19416023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</w:p>
    <w:p w14:paraId="7C11E00D" w14:textId="77777777" w:rsidR="000530FD" w:rsidRPr="00514E6F" w:rsidRDefault="000530FD" w:rsidP="000530FD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„(2) </w:t>
      </w:r>
      <w:r w:rsidRPr="00514E6F">
        <w:rPr>
          <w:bCs/>
          <w:color w:val="auto"/>
          <w:sz w:val="22"/>
          <w:szCs w:val="22"/>
        </w:rPr>
        <w:t xml:space="preserve">Právnickým osobám a podnikajícím fyzickým osobám se nařizuje zákaz přemístění </w:t>
      </w:r>
    </w:p>
    <w:p w14:paraId="54CD3B8C" w14:textId="77777777" w:rsidR="000530FD" w:rsidRPr="00514E6F" w:rsidRDefault="000530FD" w:rsidP="000530FD">
      <w:pPr>
        <w:pStyle w:val="Default"/>
        <w:numPr>
          <w:ilvl w:val="0"/>
          <w:numId w:val="30"/>
        </w:numPr>
        <w:ind w:left="426"/>
        <w:jc w:val="both"/>
        <w:rPr>
          <w:bCs/>
          <w:color w:val="auto"/>
          <w:sz w:val="22"/>
          <w:szCs w:val="22"/>
        </w:rPr>
      </w:pPr>
      <w:r w:rsidRPr="00514E6F">
        <w:rPr>
          <w:bCs/>
          <w:color w:val="auto"/>
          <w:sz w:val="22"/>
          <w:szCs w:val="22"/>
        </w:rPr>
        <w:t xml:space="preserve">živočišných produktů jiných než podrobených ošetření podle přílohy VII nařízení (EU) 2020/687, </w:t>
      </w:r>
    </w:p>
    <w:p w14:paraId="60724831" w14:textId="77777777" w:rsidR="000530FD" w:rsidRPr="00C1653F" w:rsidRDefault="000530FD" w:rsidP="000530FD">
      <w:pPr>
        <w:pStyle w:val="Default"/>
        <w:numPr>
          <w:ilvl w:val="0"/>
          <w:numId w:val="30"/>
        </w:numPr>
        <w:ind w:left="426"/>
        <w:jc w:val="both"/>
        <w:rPr>
          <w:bCs/>
          <w:color w:val="auto"/>
          <w:sz w:val="22"/>
          <w:szCs w:val="22"/>
        </w:rPr>
      </w:pPr>
      <w:r w:rsidRPr="00514E6F">
        <w:rPr>
          <w:bCs/>
          <w:color w:val="auto"/>
          <w:sz w:val="22"/>
          <w:szCs w:val="22"/>
        </w:rPr>
        <w:t>v</w:t>
      </w:r>
      <w:r w:rsidRPr="00514E6F">
        <w:rPr>
          <w:rFonts w:eastAsia="Times New Roman"/>
          <w:sz w:val="22"/>
          <w:szCs w:val="22"/>
        </w:rPr>
        <w:t xml:space="preserve">edlejších živočišných produktů </w:t>
      </w:r>
    </w:p>
    <w:p w14:paraId="1B4873F1" w14:textId="77777777" w:rsidR="000530FD" w:rsidRPr="00514E6F" w:rsidRDefault="000530FD" w:rsidP="000530FD">
      <w:pPr>
        <w:pStyle w:val="Default"/>
        <w:jc w:val="both"/>
        <w:rPr>
          <w:sz w:val="22"/>
          <w:szCs w:val="22"/>
        </w:rPr>
      </w:pPr>
      <w:r w:rsidRPr="00514E6F">
        <w:rPr>
          <w:rFonts w:eastAsia="Times New Roman"/>
          <w:sz w:val="22"/>
          <w:szCs w:val="22"/>
        </w:rPr>
        <w:t xml:space="preserve">pocházejících z vnímavých zvířat </w:t>
      </w:r>
      <w:r w:rsidRPr="00514E6F">
        <w:rPr>
          <w:sz w:val="22"/>
          <w:szCs w:val="22"/>
        </w:rPr>
        <w:t>z Maďarska nebo Slovenské republiky do České republiky.</w:t>
      </w:r>
      <w:r>
        <w:rPr>
          <w:sz w:val="22"/>
          <w:szCs w:val="22"/>
        </w:rPr>
        <w:t>“.</w:t>
      </w:r>
    </w:p>
    <w:p w14:paraId="4594ACDB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</w:p>
    <w:p w14:paraId="73B83242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 článku 1 odstavec 4 zní: </w:t>
      </w:r>
    </w:p>
    <w:p w14:paraId="7C6D12F9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</w:p>
    <w:p w14:paraId="7F7DC42D" w14:textId="77777777" w:rsidR="000530FD" w:rsidRDefault="000530FD" w:rsidP="000530FD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>„</w:t>
      </w:r>
      <w:r w:rsidRPr="00514E6F">
        <w:rPr>
          <w:sz w:val="22"/>
          <w:szCs w:val="22"/>
        </w:rPr>
        <w:t xml:space="preserve">(4) </w:t>
      </w:r>
      <w:r w:rsidRPr="00514E6F">
        <w:rPr>
          <w:bCs/>
          <w:color w:val="auto"/>
          <w:sz w:val="22"/>
          <w:szCs w:val="22"/>
        </w:rPr>
        <w:t>Zákaz přemístění produktů uvedených v odstavci 2 se nevztahuje na produkty,</w:t>
      </w:r>
      <w:r>
        <w:rPr>
          <w:bCs/>
          <w:color w:val="auto"/>
          <w:sz w:val="22"/>
          <w:szCs w:val="22"/>
        </w:rPr>
        <w:t xml:space="preserve"> </w:t>
      </w:r>
      <w:r w:rsidRPr="00514E6F">
        <w:rPr>
          <w:bCs/>
          <w:color w:val="auto"/>
          <w:sz w:val="22"/>
          <w:szCs w:val="22"/>
        </w:rPr>
        <w:t xml:space="preserve">pokud </w:t>
      </w:r>
      <w:r w:rsidRPr="00514E6F">
        <w:rPr>
          <w:bCs/>
          <w:sz w:val="22"/>
          <w:szCs w:val="22"/>
        </w:rPr>
        <w:t>jsou doprovázeny veterinárním osvědčením potvrzeným příslušným orgánem Slovenské republiky nebo Maďarska v systému TRACES NT.</w:t>
      </w:r>
      <w:r>
        <w:rPr>
          <w:bCs/>
          <w:sz w:val="22"/>
          <w:szCs w:val="22"/>
        </w:rPr>
        <w:t>“.</w:t>
      </w:r>
    </w:p>
    <w:p w14:paraId="16DBFDF1" w14:textId="77777777" w:rsidR="000530FD" w:rsidRDefault="000530FD" w:rsidP="000530FD">
      <w:pPr>
        <w:pStyle w:val="Default"/>
        <w:jc w:val="both"/>
        <w:rPr>
          <w:bCs/>
          <w:sz w:val="22"/>
          <w:szCs w:val="22"/>
        </w:rPr>
      </w:pPr>
    </w:p>
    <w:p w14:paraId="10A9C951" w14:textId="77777777" w:rsidR="000530FD" w:rsidRPr="002728EF" w:rsidRDefault="000530FD" w:rsidP="000530FD">
      <w:pPr>
        <w:pStyle w:val="Odstavecseseznamem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3. </w:t>
      </w:r>
      <w:r w:rsidRPr="002728EF">
        <w:rPr>
          <w:bCs/>
          <w:sz w:val="22"/>
          <w:szCs w:val="22"/>
        </w:rPr>
        <w:t xml:space="preserve">V článku </w:t>
      </w:r>
      <w:r>
        <w:rPr>
          <w:bCs/>
          <w:sz w:val="22"/>
          <w:szCs w:val="22"/>
        </w:rPr>
        <w:t>1</w:t>
      </w:r>
      <w:r w:rsidRPr="002728EF">
        <w:rPr>
          <w:bCs/>
          <w:sz w:val="22"/>
          <w:szCs w:val="22"/>
        </w:rPr>
        <w:t xml:space="preserve"> odst</w:t>
      </w:r>
      <w:r>
        <w:rPr>
          <w:bCs/>
          <w:sz w:val="22"/>
          <w:szCs w:val="22"/>
        </w:rPr>
        <w:t>.</w:t>
      </w:r>
      <w:r w:rsidRPr="002728EF">
        <w:rPr>
          <w:bCs/>
          <w:sz w:val="22"/>
          <w:szCs w:val="22"/>
        </w:rPr>
        <w:t xml:space="preserve"> 5 úvodní část ustanovení a písmeno a) zní: </w:t>
      </w:r>
    </w:p>
    <w:p w14:paraId="5C9CD5D5" w14:textId="77777777" w:rsidR="000530FD" w:rsidRPr="002728EF" w:rsidRDefault="000530FD" w:rsidP="000530FD">
      <w:pPr>
        <w:rPr>
          <w:bCs/>
          <w:sz w:val="22"/>
          <w:szCs w:val="22"/>
        </w:rPr>
      </w:pPr>
      <w:r w:rsidRPr="002728EF">
        <w:rPr>
          <w:bCs/>
          <w:sz w:val="22"/>
          <w:szCs w:val="22"/>
        </w:rPr>
        <w:t>„</w:t>
      </w:r>
      <w:r w:rsidRPr="002728EF">
        <w:rPr>
          <w:rFonts w:cs="Arial"/>
          <w:sz w:val="22"/>
          <w:szCs w:val="22"/>
        </w:rPr>
        <w:t xml:space="preserve">(5) </w:t>
      </w:r>
      <w:r w:rsidRPr="002728EF">
        <w:rPr>
          <w:bCs/>
          <w:sz w:val="22"/>
          <w:szCs w:val="22"/>
        </w:rPr>
        <w:t xml:space="preserve">Zákaz přemístění produktů uvedených v odstavci 3 se nevztahuje na produkty, pokud jsou </w:t>
      </w:r>
    </w:p>
    <w:p w14:paraId="07C42912" w14:textId="77777777" w:rsidR="000530FD" w:rsidRPr="00514E6F" w:rsidRDefault="000530FD" w:rsidP="000530FD">
      <w:pPr>
        <w:pStyle w:val="Default"/>
        <w:jc w:val="both"/>
        <w:rPr>
          <w:bCs/>
          <w:color w:val="auto"/>
          <w:sz w:val="22"/>
          <w:szCs w:val="22"/>
        </w:rPr>
      </w:pPr>
    </w:p>
    <w:p w14:paraId="0B683F1B" w14:textId="77777777" w:rsidR="000530FD" w:rsidRPr="00514E6F" w:rsidRDefault="000530FD" w:rsidP="000530FD">
      <w:pPr>
        <w:pStyle w:val="Default"/>
        <w:jc w:val="both"/>
        <w:rPr>
          <w:sz w:val="22"/>
          <w:szCs w:val="22"/>
        </w:rPr>
      </w:pPr>
      <w:r w:rsidRPr="00514E6F">
        <w:rPr>
          <w:bCs/>
          <w:color w:val="auto"/>
          <w:sz w:val="22"/>
          <w:szCs w:val="22"/>
        </w:rPr>
        <w:t xml:space="preserve">a) </w:t>
      </w:r>
      <w:r w:rsidRPr="00514E6F">
        <w:rPr>
          <w:sz w:val="22"/>
          <w:szCs w:val="22"/>
        </w:rPr>
        <w:t xml:space="preserve">doprovázeny veterinárním osvědčením potvrzeným příslušným orgánem Slovenské republiky nebo Maďarska v systému TRACES NT, </w:t>
      </w:r>
      <w:r>
        <w:rPr>
          <w:sz w:val="22"/>
          <w:szCs w:val="22"/>
        </w:rPr>
        <w:t>“.</w:t>
      </w:r>
    </w:p>
    <w:p w14:paraId="39499EB0" w14:textId="77777777" w:rsidR="000530FD" w:rsidRDefault="000530FD" w:rsidP="000530FD">
      <w:pPr>
        <w:pStyle w:val="Default"/>
        <w:jc w:val="both"/>
        <w:rPr>
          <w:bCs/>
          <w:sz w:val="22"/>
          <w:szCs w:val="22"/>
        </w:rPr>
      </w:pPr>
    </w:p>
    <w:p w14:paraId="5859A266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sz w:val="22"/>
          <w:szCs w:val="22"/>
        </w:rPr>
        <w:t>V článku 5 odst. 2 písmeno b) zní:</w:t>
      </w:r>
    </w:p>
    <w:p w14:paraId="01B80271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</w:p>
    <w:p w14:paraId="0B42654C" w14:textId="77777777" w:rsidR="000530FD" w:rsidRPr="00E95782" w:rsidRDefault="000530FD" w:rsidP="000530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2235F6">
        <w:rPr>
          <w:sz w:val="22"/>
          <w:szCs w:val="22"/>
        </w:rPr>
        <w:t xml:space="preserve">b) </w:t>
      </w:r>
      <w:r w:rsidRPr="00E95782">
        <w:rPr>
          <w:sz w:val="22"/>
          <w:szCs w:val="22"/>
        </w:rPr>
        <w:t>Bílá-Bumbálka – Makov, hraniční úsek/hraniční znak II/34/3, II 34/4 - II/34/5, silnice I/35, Moravskoslezský kraj; po dezinfekci provedené na tomto místě podle odstavce 3 může řidič jedoucí po vyznačené objízdné trase Hutisko-Solanec/Velké Karlovice použít k překročení státní hranice ze Slovenské republiky do České republiky místo určené k překračování státní hranice Bílá-Bumbálka – Makov, hraniční úsek/hraniční znak III/3/7 - III/4, silnice II/487, Zlínský kraj. V takovém případě si řidič o provedené dezinfekci vyžádá potvrzení, které je povinen mít k dispozici po celou dobu jízdy po objízdné trase a které je povinen předkládat ke kontrole. Tato dezinfekce nemusí být provedena v případě, kdy řidič jedoucí po vyznačené objízdné trase Hutisko-Solanec/Velké Karlovice z České republiky od hraničního úseku/znaku II/34/3, II 34/4 - II/34/5, silnice I/35, Moravskoslezský kraj po hraniční úsek/znak III/3/7 - III/4, silnice II/487, Zlínský kraj k překročení státní hranice použije místo určené k překračování státní hranice Bílá-Bumbálka – Makov, hraniční úsek/hraniční znak III/3/7 - III/4, silnice II/487, Zlínský kraj</w:t>
      </w:r>
      <w:r w:rsidRPr="002235F6">
        <w:rPr>
          <w:sz w:val="22"/>
          <w:szCs w:val="22"/>
        </w:rPr>
        <w:t>.</w:t>
      </w:r>
      <w:r>
        <w:rPr>
          <w:sz w:val="22"/>
          <w:szCs w:val="22"/>
        </w:rPr>
        <w:t>“.</w:t>
      </w:r>
      <w:r w:rsidRPr="002235F6">
        <w:rPr>
          <w:sz w:val="22"/>
          <w:szCs w:val="22"/>
        </w:rPr>
        <w:t xml:space="preserve"> </w:t>
      </w:r>
    </w:p>
    <w:p w14:paraId="0D34C997" w14:textId="77777777" w:rsidR="000530FD" w:rsidRPr="00D37CBF" w:rsidRDefault="000530FD" w:rsidP="000530F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</w:t>
      </w:r>
      <w:r w:rsidRPr="00D37CBF">
        <w:rPr>
          <w:rFonts w:cs="Arial"/>
          <w:sz w:val="22"/>
          <w:szCs w:val="22"/>
        </w:rPr>
        <w:t>V článku 7 odst</w:t>
      </w:r>
      <w:r>
        <w:rPr>
          <w:rFonts w:cs="Arial"/>
          <w:sz w:val="22"/>
          <w:szCs w:val="22"/>
        </w:rPr>
        <w:t>.</w:t>
      </w:r>
      <w:r w:rsidRPr="00D37CBF">
        <w:rPr>
          <w:rFonts w:cs="Arial"/>
          <w:sz w:val="22"/>
          <w:szCs w:val="22"/>
        </w:rPr>
        <w:t xml:space="preserve"> 1 se písmena f) a g) zrušují.</w:t>
      </w:r>
    </w:p>
    <w:p w14:paraId="3D265A12" w14:textId="77777777" w:rsidR="000530FD" w:rsidRDefault="000530FD" w:rsidP="000530FD">
      <w:pPr>
        <w:pStyle w:val="Default"/>
        <w:jc w:val="both"/>
        <w:rPr>
          <w:sz w:val="22"/>
          <w:szCs w:val="22"/>
        </w:rPr>
      </w:pPr>
    </w:p>
    <w:p w14:paraId="035A4647" w14:textId="77777777" w:rsidR="000530FD" w:rsidRDefault="000530FD" w:rsidP="000530F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946C74B" w14:textId="77777777" w:rsidR="000530FD" w:rsidRPr="00430B28" w:rsidRDefault="000530FD" w:rsidP="000530FD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ČÁST DRUHÁ</w:t>
      </w:r>
    </w:p>
    <w:p w14:paraId="6B58563E" w14:textId="77777777" w:rsidR="000530FD" w:rsidRPr="00B874AD" w:rsidRDefault="000530FD" w:rsidP="000530FD">
      <w:pPr>
        <w:pStyle w:val="Default"/>
        <w:rPr>
          <w:color w:val="auto"/>
          <w:sz w:val="22"/>
          <w:szCs w:val="22"/>
        </w:rPr>
      </w:pPr>
    </w:p>
    <w:p w14:paraId="36F18C19" w14:textId="77777777" w:rsidR="000530FD" w:rsidRPr="00B874AD" w:rsidRDefault="000530FD" w:rsidP="000530F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Společná a závěrečná ustanovení</w:t>
      </w:r>
    </w:p>
    <w:p w14:paraId="6B98736C" w14:textId="77777777" w:rsidR="000530FD" w:rsidRPr="00B874AD" w:rsidRDefault="000530FD" w:rsidP="000530F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90D5FE" w14:textId="77777777" w:rsidR="000530FD" w:rsidRDefault="000530FD" w:rsidP="000530FD">
      <w:pPr>
        <w:pStyle w:val="Default"/>
        <w:numPr>
          <w:ilvl w:val="0"/>
          <w:numId w:val="29"/>
        </w:numPr>
        <w:ind w:firstLine="709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Toto nařízení nabývá podle § 2 odst. 1 a § 4 odst. 1 a 2 zákona č. 35/2021 Sb.,</w:t>
      </w:r>
      <w:r>
        <w:rPr>
          <w:sz w:val="22"/>
          <w:szCs w:val="22"/>
        </w:rPr>
        <w:br/>
      </w:r>
      <w:r w:rsidRPr="00B874AD">
        <w:rPr>
          <w:sz w:val="22"/>
          <w:szCs w:val="22"/>
        </w:rPr>
        <w:t xml:space="preserve">o Sbírce právních předpisů územních samosprávných celků a některých správních úřadů </w:t>
      </w:r>
      <w:r>
        <w:rPr>
          <w:sz w:val="22"/>
          <w:szCs w:val="22"/>
        </w:rPr>
        <w:br/>
      </w:r>
      <w:r w:rsidRPr="00B874AD">
        <w:rPr>
          <w:sz w:val="22"/>
          <w:szCs w:val="22"/>
        </w:rPr>
        <w:t xml:space="preserve">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196E5083" w14:textId="77777777" w:rsidR="000530FD" w:rsidRPr="00B874AD" w:rsidRDefault="000530FD" w:rsidP="000530FD">
      <w:pPr>
        <w:pStyle w:val="Default"/>
        <w:jc w:val="both"/>
        <w:rPr>
          <w:sz w:val="22"/>
          <w:szCs w:val="22"/>
        </w:rPr>
      </w:pPr>
    </w:p>
    <w:p w14:paraId="38135FE5" w14:textId="77777777" w:rsidR="000530FD" w:rsidRPr="009925D0" w:rsidRDefault="000530FD" w:rsidP="000530FD">
      <w:pPr>
        <w:pStyle w:val="Default"/>
        <w:numPr>
          <w:ilvl w:val="0"/>
          <w:numId w:val="29"/>
        </w:numPr>
        <w:ind w:firstLine="709"/>
        <w:jc w:val="both"/>
        <w:rPr>
          <w:sz w:val="22"/>
          <w:szCs w:val="22"/>
        </w:rPr>
      </w:pPr>
      <w:r w:rsidRPr="009925D0">
        <w:rPr>
          <w:sz w:val="22"/>
          <w:szCs w:val="22"/>
        </w:rPr>
        <w:t xml:space="preserve">Toto nařízení se vyvěšuje na úředních deskách Ministerstva zemědělství </w:t>
      </w:r>
      <w:r>
        <w:rPr>
          <w:sz w:val="22"/>
          <w:szCs w:val="22"/>
        </w:rPr>
        <w:br/>
      </w:r>
      <w:r w:rsidRPr="009925D0">
        <w:rPr>
          <w:sz w:val="22"/>
          <w:szCs w:val="22"/>
        </w:rPr>
        <w:t>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5A52B7C5" w14:textId="77777777" w:rsidR="000530FD" w:rsidRPr="00B874AD" w:rsidRDefault="000530FD" w:rsidP="000530FD">
      <w:pPr>
        <w:pStyle w:val="Default"/>
        <w:jc w:val="both"/>
        <w:rPr>
          <w:sz w:val="22"/>
          <w:szCs w:val="22"/>
        </w:rPr>
      </w:pPr>
    </w:p>
    <w:p w14:paraId="3260E9C4" w14:textId="77777777" w:rsidR="000530FD" w:rsidRPr="00B874AD" w:rsidRDefault="000530FD" w:rsidP="000530FD">
      <w:pPr>
        <w:pStyle w:val="Default"/>
        <w:numPr>
          <w:ilvl w:val="0"/>
          <w:numId w:val="29"/>
        </w:numPr>
        <w:ind w:firstLine="709"/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4AF4DEF1" w14:textId="77777777" w:rsidR="000530FD" w:rsidRPr="003A28C9" w:rsidRDefault="000530FD" w:rsidP="000530FD">
      <w:pPr>
        <w:tabs>
          <w:tab w:val="left" w:pos="709"/>
          <w:tab w:val="left" w:pos="5387"/>
        </w:tabs>
        <w:spacing w:before="800" w:after="400"/>
        <w:rPr>
          <w:rFonts w:eastAsia="Calibri" w:cs="Arial"/>
          <w:sz w:val="22"/>
          <w:szCs w:val="22"/>
        </w:rPr>
      </w:pPr>
      <w:r w:rsidRPr="003A28C9">
        <w:rPr>
          <w:rFonts w:eastAsia="Calibri" w:cs="Arial"/>
          <w:sz w:val="22"/>
          <w:szCs w:val="22"/>
        </w:rPr>
        <w:t xml:space="preserve">V Praze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DAB1CE4E245B4DB283FDC78743C21612"/>
          </w:placeholder>
        </w:sdtPr>
        <w:sdtEndPr/>
        <w:sdtContent>
          <w:r>
            <w:rPr>
              <w:rFonts w:eastAsia="Calibri" w:cs="Arial"/>
              <w:color w:val="000000" w:themeColor="text1"/>
              <w:sz w:val="22"/>
              <w:szCs w:val="22"/>
            </w:rPr>
            <w:t>28.4.2025</w:t>
          </w:r>
        </w:sdtContent>
      </w:sdt>
    </w:p>
    <w:p w14:paraId="2F199C1E" w14:textId="77777777" w:rsidR="000530FD" w:rsidRPr="003A28C9" w:rsidRDefault="000530FD" w:rsidP="000530FD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MVDr. Zbyněk Semerád</w:t>
      </w:r>
    </w:p>
    <w:p w14:paraId="0486F934" w14:textId="77777777" w:rsidR="000530FD" w:rsidRPr="003A28C9" w:rsidRDefault="000530FD" w:rsidP="000530FD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ústřední ředitel</w:t>
      </w:r>
    </w:p>
    <w:p w14:paraId="4912EC3F" w14:textId="77777777" w:rsidR="000530FD" w:rsidRPr="003A28C9" w:rsidRDefault="000530FD" w:rsidP="000530FD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podepsáno elektronicky</w:t>
      </w:r>
    </w:p>
    <w:p w14:paraId="75FE1B1A" w14:textId="77777777" w:rsidR="000530FD" w:rsidRPr="003A28C9" w:rsidRDefault="000530FD" w:rsidP="000530FD">
      <w:pPr>
        <w:keepNext/>
        <w:spacing w:before="960" w:after="120"/>
        <w:rPr>
          <w:rFonts w:eastAsia="Times New Roman" w:cs="Arial"/>
          <w:b/>
          <w:bCs/>
          <w:sz w:val="22"/>
          <w:szCs w:val="22"/>
        </w:rPr>
      </w:pPr>
      <w:r w:rsidRPr="003A28C9">
        <w:rPr>
          <w:rFonts w:eastAsia="Times New Roman" w:cs="Arial"/>
          <w:b/>
          <w:bCs/>
          <w:sz w:val="22"/>
          <w:szCs w:val="22"/>
        </w:rPr>
        <w:lastRenderedPageBreak/>
        <w:t>Obdrží</w:t>
      </w:r>
    </w:p>
    <w:p w14:paraId="3062BC11" w14:textId="77777777" w:rsidR="000530FD" w:rsidRPr="003A28C9" w:rsidRDefault="000530FD" w:rsidP="000530FD">
      <w:pPr>
        <w:keepNext/>
        <w:spacing w:before="0"/>
        <w:rPr>
          <w:rFonts w:eastAsia="Times New Roman" w:cs="Arial"/>
          <w:sz w:val="22"/>
          <w:szCs w:val="22"/>
        </w:rPr>
      </w:pPr>
      <w:r w:rsidRPr="003A28C9">
        <w:rPr>
          <w:rFonts w:eastAsia="Times New Roman" w:cs="Arial"/>
          <w:sz w:val="22"/>
          <w:szCs w:val="22"/>
        </w:rPr>
        <w:t>Ministerstvo zemědělství</w:t>
      </w:r>
    </w:p>
    <w:p w14:paraId="2B59FADC" w14:textId="56D5A952" w:rsidR="000C35E6" w:rsidRPr="004E5468" w:rsidRDefault="000530FD" w:rsidP="000530FD">
      <w:pPr>
        <w:pStyle w:val="Doruen"/>
        <w:spacing w:before="0"/>
      </w:pPr>
      <w:r w:rsidRPr="003A28C9">
        <w:rPr>
          <w:b w:val="0"/>
          <w:bCs w:val="0"/>
          <w:sz w:val="22"/>
          <w:szCs w:val="22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9A0E7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9A0E7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9A0E7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9A0E7E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6811546"/>
    <w:multiLevelType w:val="hybridMultilevel"/>
    <w:tmpl w:val="1F8CA2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18"/>
  </w:num>
  <w:num w:numId="2" w16cid:durableId="1746762914">
    <w:abstractNumId w:val="18"/>
  </w:num>
  <w:num w:numId="3" w16cid:durableId="737358390">
    <w:abstractNumId w:val="18"/>
  </w:num>
  <w:num w:numId="4" w16cid:durableId="2071926705">
    <w:abstractNumId w:val="18"/>
  </w:num>
  <w:num w:numId="5" w16cid:durableId="1972781906">
    <w:abstractNumId w:val="18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5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1"/>
  </w:num>
  <w:num w:numId="24" w16cid:durableId="319429946">
    <w:abstractNumId w:val="24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3"/>
  </w:num>
  <w:num w:numId="28" w16cid:durableId="1948927422">
    <w:abstractNumId w:val="22"/>
  </w:num>
  <w:num w:numId="29" w16cid:durableId="466823024">
    <w:abstractNumId w:val="20"/>
  </w:num>
  <w:num w:numId="30" w16cid:durableId="10141150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530FD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19A3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B24C7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0E7E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0530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qFormat/>
    <w:rsid w:val="0005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AB1CE4E245B4DB283FDC78743C216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06D7D-39BE-4C1C-9FBA-8F66CB4A0C1B}"/>
      </w:docPartPr>
      <w:docPartBody>
        <w:p w:rsidR="00EE43BB" w:rsidRDefault="00EE43BB" w:rsidP="00EE43BB">
          <w:pPr>
            <w:pStyle w:val="DAB1CE4E245B4DB283FDC78743C2161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2219A3"/>
    <w:rsid w:val="00372D57"/>
    <w:rsid w:val="00751EFC"/>
    <w:rsid w:val="007B24C7"/>
    <w:rsid w:val="008C1591"/>
    <w:rsid w:val="00960681"/>
    <w:rsid w:val="00CC7EC8"/>
    <w:rsid w:val="00E0754C"/>
    <w:rsid w:val="00E2553D"/>
    <w:rsid w:val="00E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E43BB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DAB1CE4E245B4DB283FDC78743C21612">
    <w:name w:val="DAB1CE4E245B4DB283FDC78743C21612"/>
    <w:rsid w:val="00EE43B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2</cp:revision>
  <cp:lastPrinted>2008-10-15T15:59:00Z</cp:lastPrinted>
  <dcterms:created xsi:type="dcterms:W3CDTF">2025-04-28T14:04:00Z</dcterms:created>
  <dcterms:modified xsi:type="dcterms:W3CDTF">2025-04-28T14:04:00Z</dcterms:modified>
</cp:coreProperties>
</file>