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rPr>
          <w:sz w:val="28"/>
          <w:szCs w:val="28"/>
        </w:rPr>
      </w:pPr>
      <w:r w:rsidDel="00000000" w:rsidR="00000000" w:rsidRPr="00000000">
        <w:rPr>
          <w:sz w:val="28"/>
          <w:szCs w:val="28"/>
          <w:rtl w:val="0"/>
        </w:rPr>
        <w:t xml:space="preserve">Obec Kněžnice</w:t>
      </w:r>
    </w:p>
    <w:p w:rsidR="00000000" w:rsidDel="00000000" w:rsidP="00000000" w:rsidRDefault="00000000" w:rsidRPr="00000000" w14:paraId="00000002">
      <w:pPr>
        <w:pStyle w:val="Title"/>
        <w:spacing w:after="0" w:before="0" w:lineRule="auto"/>
        <w:rPr>
          <w:color w:val="000000"/>
          <w:sz w:val="28"/>
          <w:szCs w:val="28"/>
        </w:rPr>
      </w:pPr>
      <w:r w:rsidDel="00000000" w:rsidR="00000000" w:rsidRPr="00000000">
        <w:rPr>
          <w:color w:val="000000"/>
          <w:sz w:val="28"/>
          <w:szCs w:val="28"/>
          <w:rtl w:val="0"/>
        </w:rPr>
        <w:t xml:space="preserve">Zastupitelstvo obce</w:t>
      </w:r>
    </w:p>
    <w:p w:rsidR="00000000" w:rsidDel="00000000" w:rsidP="00000000" w:rsidRDefault="00000000" w:rsidRPr="00000000" w14:paraId="00000003">
      <w:pPr>
        <w:pStyle w:val="Title"/>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04">
      <w:pPr>
        <w:pStyle w:val="Title"/>
        <w:spacing w:after="0" w:before="0" w:lineRule="auto"/>
        <w:rPr>
          <w:color w:val="000000"/>
          <w:sz w:val="28"/>
          <w:szCs w:val="28"/>
        </w:rPr>
      </w:pPr>
      <w:r w:rsidDel="00000000" w:rsidR="00000000" w:rsidRPr="00000000">
        <w:rPr/>
        <w:pict>
          <v:shape id="Obrázek 1" style="width:50.4pt;height:56.4pt;visibility:visible;mso-wrap-style:square" alt="Znak obce Kněžnice" o:spid="_x0000_i1025" type="#_x0000_t75">
            <v:imagedata r:id="rId1" o:title="Znak obce Kněžnice"/>
          </v:shape>
        </w:pict>
      </w:r>
      <w:r w:rsidDel="00000000" w:rsidR="00000000" w:rsidRPr="00000000">
        <w:rPr>
          <w:color w:val="000000"/>
          <w:sz w:val="28"/>
          <w:szCs w:val="28"/>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Obecně závazná vyhláška </w:t>
        <w:br w:type="textWrapp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 stanovení obecního systému odpadového hospodářství</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Zastupitelstvo obce Kněžnice se na svém zasedání dne </w:t>
      </w:r>
      <w:r w:rsidDel="00000000" w:rsidR="00000000" w:rsidRPr="00000000">
        <w:rPr>
          <w:rFonts w:ascii="Arial" w:cs="Arial" w:eastAsia="Arial" w:hAnsi="Arial"/>
          <w:sz w:val="22"/>
          <w:szCs w:val="22"/>
          <w:rtl w:val="0"/>
        </w:rPr>
        <w:t xml:space="preserve">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.2026 usnesením č. 1 usneslo vydat na základě § 59 odst. 4 zákona č. 541/2020 Sb., o odpadech (dále jen „zákon </w:t>
        <w:br w:type="textWrapping"/>
        <w:t xml:space="preserve">o odpadech“), a v souladu s § 10 písm. d) a § 84 odst. 2 písm. h) zákona č. 128/2000 Sb., </w:t>
        <w:br w:type="textWrapping"/>
        <w:t xml:space="preserve">o obcích (obecní zřízení), ve znění pozdějších předpisů, tuto obecně závaznou vyhlášku (dále jen „vyhláška“):</w:t>
      </w:r>
    </w:p>
    <w:p w:rsidR="00000000" w:rsidDel="00000000" w:rsidP="00000000" w:rsidRDefault="00000000" w:rsidRPr="00000000" w14:paraId="00000008">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Čl. 1</w:t>
      </w:r>
    </w:p>
    <w:p w:rsidR="00000000" w:rsidDel="00000000" w:rsidP="00000000" w:rsidRDefault="00000000" w:rsidRPr="00000000" w14:paraId="0000000A">
      <w:pPr>
        <w:pStyle w:val="Heading2"/>
        <w:jc w:val="center"/>
        <w:rPr>
          <w:rFonts w:ascii="Arial" w:cs="Arial" w:eastAsia="Arial" w:hAnsi="Arial"/>
          <w:b w:val="1"/>
          <w:bCs w:val="1"/>
          <w:sz w:val="22"/>
          <w:szCs w:val="22"/>
          <w:u w:val="none"/>
        </w:rPr>
      </w:pPr>
      <w:r w:rsidDel="00000000" w:rsidR="00000000" w:rsidRPr="00000000">
        <w:rPr>
          <w:rFonts w:ascii="Arial" w:cs="Arial" w:eastAsia="Arial" w:hAnsi="Arial"/>
          <w:b w:val="1"/>
          <w:bCs w:val="1"/>
          <w:sz w:val="22"/>
          <w:szCs w:val="22"/>
          <w:u w:val="none"/>
          <w:rtl w:val="0"/>
        </w:rPr>
        <w:t xml:space="preserve">Úvodní ustanovení</w:t>
      </w:r>
    </w:p>
    <w:p w:rsidR="00000000" w:rsidDel="00000000" w:rsidP="00000000" w:rsidRDefault="00000000" w:rsidRPr="00000000" w14:paraId="0000000B">
      <w:pPr>
        <w:tabs>
          <w:tab w:val="left" w:leader="none" w:pos="567"/>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numPr>
          <w:ilvl w:val="0"/>
          <w:numId w:val="7"/>
        </w:numPr>
        <w:tabs>
          <w:tab w:val="left" w:leader="none" w:pos="0"/>
        </w:tabs>
        <w:ind w:left="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vyhláška stanovuje obecní systém odpadového hospodářství na území obce Kněžnice.</w:t>
      </w:r>
    </w:p>
    <w:p w:rsidR="00000000" w:rsidDel="00000000" w:rsidP="00000000" w:rsidRDefault="00000000" w:rsidRPr="00000000" w14:paraId="0000000D">
      <w:pPr>
        <w:tabs>
          <w:tab w:val="left" w:leader="none" w:pos="567"/>
        </w:tabs>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E">
      <w:pPr>
        <w:numPr>
          <w:ilvl w:val="0"/>
          <w:numId w:val="7"/>
        </w:numPr>
        <w:tabs>
          <w:tab w:val="left" w:leader="none" w:pos="-142"/>
        </w:tabs>
        <w:ind w:left="0" w:hanging="426"/>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Každý je povinen odpad nebo movitou věc, které předává do obecního systému, odkládat na místa určená obcí v souladu s povinnostmi stanovenými pro daný druh, kategorii nebo materiál odpadu nebo movitých věcí zákonem o odpadech a touto vyhláškou</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tabs>
          <w:tab w:val="left" w:leader="none" w:pos="567"/>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numPr>
          <w:ilvl w:val="0"/>
          <w:numId w:val="7"/>
        </w:numPr>
        <w:tabs>
          <w:tab w:val="left" w:leader="none" w:pos="-142"/>
        </w:tabs>
        <w:ind w:left="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V okamžiku, kdy osoba zapojená do obecního systému odloží movitou věc nebo odpad, </w:t>
        <w:br w:type="textWrapping"/>
        <w:t xml:space="preserve">s výjimkou výrobků s ukončenou životností, na místě obcí k tomuto účelu určeném, stává se obec vlastníkem této movité věci nebo odpadu</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tabs>
          <w:tab w:val="left" w:leader="none" w:pos="-14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numPr>
          <w:ilvl w:val="0"/>
          <w:numId w:val="7"/>
        </w:numPr>
        <w:tabs>
          <w:tab w:val="left" w:leader="none" w:pos="-142"/>
        </w:tabs>
        <w:ind w:left="0"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00000" w:rsidDel="00000000" w:rsidP="00000000" w:rsidRDefault="00000000" w:rsidRPr="00000000" w14:paraId="00000013">
      <w:pPr>
        <w:tabs>
          <w:tab w:val="left" w:leader="none" w:pos="-14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Čl. 2</w:t>
      </w:r>
    </w:p>
    <w:p w:rsidR="00000000" w:rsidDel="00000000" w:rsidP="00000000" w:rsidRDefault="00000000" w:rsidRPr="00000000" w14:paraId="00000016">
      <w:pPr>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Oddělené soustřeďování komunálního odpadu </w:t>
      </w:r>
      <w:r w:rsidDel="00000000" w:rsidR="00000000" w:rsidRPr="00000000">
        <w:rPr>
          <w:rtl w:val="0"/>
        </w:rPr>
      </w:r>
    </w:p>
    <w:p w:rsidR="00000000" w:rsidDel="00000000" w:rsidP="00000000" w:rsidRDefault="00000000" w:rsidRPr="00000000" w14:paraId="0000001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numPr>
          <w:ilvl w:val="0"/>
          <w:numId w:val="6"/>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Osoby předávající komunální odpad na místa určená obcí jsou povinny odděleně soustřeďovat následující složky:</w:t>
      </w:r>
    </w:p>
    <w:p w:rsidR="00000000" w:rsidDel="00000000" w:rsidP="00000000" w:rsidRDefault="00000000" w:rsidRPr="00000000" w14:paraId="00000019">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Biologické odpady rostlinného původu,</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86"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Papír,</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786"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Plasty včetně PET lahví (dále jen „plasty“),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Sklo,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Kovy,</w:t>
      </w:r>
    </w:p>
    <w:p w:rsidR="00000000" w:rsidDel="00000000" w:rsidP="00000000" w:rsidRDefault="00000000" w:rsidRPr="00000000" w14:paraId="0000001F">
      <w:pPr>
        <w:numPr>
          <w:ilvl w:val="0"/>
          <w:numId w:val="1"/>
        </w:numPr>
        <w:ind w:left="786"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Nebezpečné odpady,</w:t>
      </w:r>
      <w:r w:rsidDel="00000000" w:rsidR="00000000" w:rsidRPr="00000000">
        <w:rPr>
          <w:rtl w:val="0"/>
        </w:rPr>
      </w:r>
    </w:p>
    <w:p w:rsidR="00000000" w:rsidDel="00000000" w:rsidP="00000000" w:rsidRDefault="00000000" w:rsidRPr="00000000" w14:paraId="00000020">
      <w:pPr>
        <w:numPr>
          <w:ilvl w:val="0"/>
          <w:numId w:val="1"/>
        </w:numPr>
        <w:ind w:left="786"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Objemný odpad,</w:t>
      </w:r>
    </w:p>
    <w:p w:rsidR="00000000" w:rsidDel="00000000" w:rsidP="00000000" w:rsidRDefault="00000000" w:rsidRPr="00000000" w14:paraId="00000021">
      <w:pPr>
        <w:numPr>
          <w:ilvl w:val="0"/>
          <w:numId w:val="1"/>
        </w:numPr>
        <w:ind w:left="78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Jedlé oleje a tuky,</w:t>
      </w:r>
    </w:p>
    <w:p w:rsidR="00000000" w:rsidDel="00000000" w:rsidP="00000000" w:rsidRDefault="00000000" w:rsidRPr="00000000" w14:paraId="00000022">
      <w:pPr>
        <w:numPr>
          <w:ilvl w:val="0"/>
          <w:numId w:val="1"/>
        </w:numPr>
        <w:ind w:left="78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Textil, </w:t>
      </w:r>
    </w:p>
    <w:p w:rsidR="00000000" w:rsidDel="00000000" w:rsidP="00000000" w:rsidRDefault="00000000" w:rsidRPr="00000000" w14:paraId="00000023">
      <w:pPr>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j)</w:t>
        <w:tab/>
        <w:t xml:space="preserve">Směsný komunální odpad.</w:t>
      </w:r>
    </w:p>
    <w:p w:rsidR="00000000" w:rsidDel="00000000" w:rsidP="00000000" w:rsidRDefault="00000000" w:rsidRPr="00000000" w14:paraId="00000024">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Směsným komunálním odpadem se rozumí zbylý komunální odpad po stanoveném vytřídění podle odstavce 1 písm. a) až 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Objemný odpad je takový odpad, který vzhledem ke svým rozměrům nemůže být umístěn do sběrných nádob (např. koberce, matrace, nábytek).</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Čl. 3</w:t>
      </w:r>
    </w:p>
    <w:p w:rsidR="00000000" w:rsidDel="00000000" w:rsidP="00000000" w:rsidRDefault="00000000" w:rsidRPr="00000000" w14:paraId="0000002B">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Určení míst pro oddělené soustřeďování určených složek komunálního odpadu</w:t>
      </w:r>
    </w:p>
    <w:p w:rsidR="00000000" w:rsidDel="00000000" w:rsidP="00000000" w:rsidRDefault="00000000" w:rsidRPr="00000000" w14:paraId="0000002C">
      <w:pPr>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D">
      <w:pPr>
        <w:numPr>
          <w:ilvl w:val="0"/>
          <w:numId w:val="3"/>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Papír, plasty, sklo, kovy, biologické odpady rostlinného původu, jedlé oleje a tuky, textil se soustřeďují do zvláštních sběrných nádob, kterými jsou kontejnery, velkoobjemové kontejnery a sběrné pytle.</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i w:val="0"/>
          <w:iCs w:val="0"/>
          <w:smallCaps w:val="0"/>
          <w:strike w:val="0"/>
          <w:color w:val="000000"/>
          <w:sz w:val="22"/>
          <w:szCs w:val="22"/>
          <w:shd w:fill="auto" w:val="clear"/>
          <w:vertAlign w:val="baseline"/>
        </w:rPr>
      </w:pPr>
      <w:bookmarkStart w:colFirst="0" w:colLast="0" w:name="_hdd1woxch3ad"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Zvláštní sběrné nádoby jsou umístěny na stanovištích u Obecního úřadu Kněžnice, u Mateřské školy Kněžnice, v osadě Pekloves a v osadě Javornice. Tato stanoviště jsou zobrazena na webových stránkách obce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 sekci Odpady.</w:t>
      </w: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Zvláštní sběrné nádoby a sběrné pytle jsou barevně odlišeny a případně označeny příslušnými nápisy:</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biologické odpady rostlinného původu, barva hnědá</w:t>
      </w:r>
      <w:r w:rsidDel="00000000" w:rsidR="00000000" w:rsidRPr="00000000">
        <w:rPr>
          <w:rtl w:val="0"/>
        </w:rPr>
      </w:r>
      <w:r w:rsidDel="00000000" w:rsidR="00000000" w:rsidRPr="00000000">
        <w:pict>
          <v:rect id="Obdélník 3" style="position:absolute;left:0;text-align:left;margin-left:334.65pt;margin-top:-0.45pt;width:39pt;height:9.75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color="#963"/>
        </w:pic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papír, barva modrá</w:t>
      </w:r>
      <w:r w:rsidDel="00000000" w:rsidR="00000000" w:rsidRPr="00000000">
        <w:rPr>
          <w:rtl w:val="0"/>
        </w:rPr>
      </w:r>
      <w:r w:rsidDel="00000000" w:rsidR="00000000" w:rsidRPr="00000000">
        <w:pict>
          <v:rect id="Obdélník 6" style="position:absolute;left:0;text-align:left;margin-left:334.65pt;margin-top:-0.7pt;width:39pt;height:9.75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2" fillcolor="#0070c0"/>
        </w:pic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plasty, barva žlutá</w:t>
      </w:r>
      <w:r w:rsidDel="00000000" w:rsidR="00000000" w:rsidRPr="00000000">
        <w:rPr>
          <w:rtl w:val="0"/>
        </w:rPr>
      </w:r>
      <w:r w:rsidDel="00000000" w:rsidR="00000000" w:rsidRPr="00000000">
        <w:pict>
          <v:rect id="Obdélník 7" style="position:absolute;left:0;text-align:left;margin-left:334.5pt;margin-top:-0.45pt;width:39pt;height:9.75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yellow"/>
        </w:pic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sklo, barva zelená</w:t>
      </w:r>
      <w:r w:rsidDel="00000000" w:rsidR="00000000" w:rsidRPr="00000000">
        <w:rPr>
          <w:rtl w:val="0"/>
        </w:rPr>
      </w:r>
      <w:r w:rsidDel="00000000" w:rsidR="00000000" w:rsidRPr="00000000">
        <w:pict>
          <v:rect id="Obdélník 8" style="position:absolute;left:0;text-align:left;margin-left:334.65pt;margin-top:-0.55pt;width:39pt;height:9.75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00b050"/>
        </w:pict>
      </w:r>
      <w:r w:rsidDel="00000000" w:rsidR="00000000" w:rsidRPr="00000000">
        <w:pict>
          <v:rect id="Obdélník 4" style="position:absolute;left:0;text-align:left;margin-left:334.6pt;margin-top:12.55pt;width:39pt;height:9.75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bfbfbf"/>
        </w:pic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kovy, barva šedá</w:t>
      </w:r>
      <w:r w:rsidDel="00000000" w:rsidR="00000000" w:rsidRPr="00000000">
        <w:rPr>
          <w:rtl w:val="0"/>
        </w:rPr>
      </w:r>
    </w:p>
    <w:p w:rsidR="00000000" w:rsidDel="00000000" w:rsidP="00000000" w:rsidRDefault="00000000" w:rsidRPr="00000000" w14:paraId="00000038">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jedlé oleje a tuky</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Fonts w:ascii="Arial" w:cs="Arial" w:eastAsia="Arial" w:hAnsi="Arial"/>
          <w:sz w:val="22"/>
          <w:szCs w:val="22"/>
          <w:rtl w:val="0"/>
        </w:rPr>
        <w:t xml:space="preserve">, barva oranžová</w:t>
      </w:r>
      <w:r w:rsidDel="00000000" w:rsidR="00000000" w:rsidRPr="00000000">
        <w:pict>
          <v:rect id="Obdélník 10" style="position:absolute;left:0;text-align:left;margin-left:334.5pt;margin-top:-0.3pt;width:39pt;height:9.7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f93"/>
        </w:pict>
      </w:r>
    </w:p>
    <w:p w:rsidR="00000000" w:rsidDel="00000000" w:rsidP="00000000" w:rsidRDefault="00000000" w:rsidRPr="00000000" w14:paraId="00000039">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textil, barva světle oranžová</w:t>
      </w:r>
      <w:r w:rsidDel="00000000" w:rsidR="00000000" w:rsidRPr="00000000">
        <w:pict>
          <v:rect id="_x0000_s1035" style="position:absolute;left:0;text-align:left;margin-left:334.5pt;margin-top:-0.2pt;width:39pt;height:9.75pt;z-index:7;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mso-position-horizontal:absolute;mso-position-vertical:absolute;" fillcolor="#f7caac"/>
        </w:pict>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numPr>
          <w:ilvl w:val="0"/>
          <w:numId w:val="3"/>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 zvláštních sběrných nádob a sběrných pytlů je zakázáno ukládat jiné složky komunálních odpadů, než pro které jsou určeny.</w:t>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3"/>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Zvláštní sběrné nádoby a sběrné pytle je povinnost plnit tak, aby je bylo možno uzavřít a odpad z nich při manipulaci nevypadával. Pokud to umožňuje povaha odpadu, je nutno objem odpadu před jeho odložením do sběrné nádoby minimalizovat. Stanoviště sběrných pytlů je vedle sběrných nádob.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2"/>
        <w:jc w:val="center"/>
        <w:rPr>
          <w:rFonts w:ascii="Arial" w:cs="Arial" w:eastAsia="Arial" w:hAnsi="Arial"/>
          <w:b w:val="1"/>
          <w:bCs w:val="1"/>
          <w:sz w:val="22"/>
          <w:szCs w:val="22"/>
          <w:u w:val="none"/>
        </w:rPr>
      </w:pPr>
      <w:r w:rsidDel="00000000" w:rsidR="00000000" w:rsidRPr="00000000">
        <w:rPr>
          <w:rFonts w:ascii="Arial" w:cs="Arial" w:eastAsia="Arial" w:hAnsi="Arial"/>
          <w:b w:val="1"/>
          <w:bCs w:val="1"/>
          <w:sz w:val="22"/>
          <w:szCs w:val="22"/>
          <w:u w:val="none"/>
          <w:rtl w:val="0"/>
        </w:rPr>
        <w:t xml:space="preserve">Čl. 4</w:t>
      </w:r>
    </w:p>
    <w:p w:rsidR="00000000" w:rsidDel="00000000" w:rsidP="00000000" w:rsidRDefault="00000000" w:rsidRPr="00000000" w14:paraId="00000041">
      <w:pPr>
        <w:pStyle w:val="Heading2"/>
        <w:jc w:val="center"/>
        <w:rPr>
          <w:rFonts w:ascii="Arial" w:cs="Arial" w:eastAsia="Arial" w:hAnsi="Arial"/>
          <w:b w:val="1"/>
          <w:bCs w:val="1"/>
          <w:sz w:val="22"/>
          <w:szCs w:val="22"/>
          <w:u w:val="none"/>
        </w:rPr>
      </w:pPr>
      <w:r w:rsidDel="00000000" w:rsidR="00000000" w:rsidRPr="00000000">
        <w:rPr>
          <w:rFonts w:ascii="Arial" w:cs="Arial" w:eastAsia="Arial" w:hAnsi="Arial"/>
          <w:b w:val="1"/>
          <w:bCs w:val="1"/>
          <w:sz w:val="22"/>
          <w:szCs w:val="22"/>
          <w:u w:val="none"/>
          <w:rtl w:val="0"/>
        </w:rPr>
        <w:t xml:space="preserve"> Odběr nebezpečných složek komunálního odpadu</w:t>
      </w:r>
    </w:p>
    <w:p w:rsidR="00000000" w:rsidDel="00000000" w:rsidP="00000000" w:rsidRDefault="00000000" w:rsidRPr="00000000" w14:paraId="00000042">
      <w:pPr>
        <w:ind w:left="36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3">
      <w:pPr>
        <w:numPr>
          <w:ilvl w:val="0"/>
          <w:numId w:val="5"/>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Odběr nebezpečných složek komunálního odpadu je umožněn </w:t>
      </w:r>
      <w:r w:rsidDel="00000000" w:rsidR="00000000" w:rsidRPr="00000000">
        <w:rPr>
          <w:rFonts w:ascii="Arial" w:cs="Arial" w:eastAsia="Arial" w:hAnsi="Arial"/>
          <w:b w:val="1"/>
          <w:bCs w:val="1"/>
          <w:sz w:val="22"/>
          <w:szCs w:val="22"/>
          <w:rtl w:val="0"/>
        </w:rPr>
        <w:t xml:space="preserve">nepodnikajícím fyzickým osobám</w:t>
      </w:r>
      <w:r w:rsidDel="00000000" w:rsidR="00000000" w:rsidRPr="00000000">
        <w:rPr>
          <w:rFonts w:ascii="Arial" w:cs="Arial" w:eastAsia="Arial" w:hAnsi="Arial"/>
          <w:sz w:val="22"/>
          <w:szCs w:val="22"/>
          <w:rtl w:val="0"/>
        </w:rPr>
        <w:t xml:space="preserve"> zapojených do obecního systému odpadového hospodářství obce Kněžnice ve sběrném dvoře Technických služeb Města Jičína, příspěvkové organizace (dále TS Jičín). Odběr je umožněn po celý rok v provozních hodinách TS Jičín. </w:t>
      </w:r>
    </w:p>
    <w:p w:rsidR="00000000" w:rsidDel="00000000" w:rsidP="00000000" w:rsidRDefault="00000000" w:rsidRPr="00000000" w14:paraId="00000044">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numPr>
          <w:ilvl w:val="0"/>
          <w:numId w:val="5"/>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Odložení  nebezpečných složek odpadu na sběrném dvoře TS Jičín bude nepodnikajícím fyzickým osobám obce umožněno pouze po prokázání jejich totožnosti a po prokázání, že jde o poplatníka obce Kněžnice. Odložení je zdarma.</w:t>
      </w:r>
    </w:p>
    <w:p w:rsidR="00000000" w:rsidDel="00000000" w:rsidP="00000000" w:rsidRDefault="00000000" w:rsidRPr="00000000" w14:paraId="00000046">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numPr>
          <w:ilvl w:val="0"/>
          <w:numId w:val="5"/>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Odložení nebezpečných složek opadu je umožněno za podmínek stanovených v provozním řádu sběrného dvora TS Jičín. Provozní řád sběrného dvora TS Jičín je k dispozici na webových stránkách obce v sekci Odpady.</w:t>
      </w:r>
      <w:r w:rsidDel="00000000" w:rsidR="00000000" w:rsidRPr="00000000">
        <w:rPr>
          <w:rFonts w:ascii="Arial" w:cs="Arial" w:eastAsia="Arial" w:hAnsi="Arial"/>
          <w:sz w:val="22"/>
          <w:szCs w:val="22"/>
          <w:vertAlign w:val="superscript"/>
          <w:rtl w:val="0"/>
        </w:rPr>
        <w:t xml:space="preserve">3</w:t>
      </w:r>
      <w:r w:rsidDel="00000000" w:rsidR="00000000" w:rsidRPr="00000000">
        <w:rPr>
          <w:rtl w:val="0"/>
        </w:rPr>
      </w:r>
    </w:p>
    <w:p w:rsidR="00000000" w:rsidDel="00000000" w:rsidP="00000000" w:rsidRDefault="00000000" w:rsidRPr="00000000" w14:paraId="00000048">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Čl. 5</w:t>
      </w:r>
    </w:p>
    <w:p w:rsidR="00000000" w:rsidDel="00000000" w:rsidP="00000000" w:rsidRDefault="00000000" w:rsidRPr="00000000" w14:paraId="0000004B">
      <w:pPr>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Odběr objemného odpadu</w:t>
      </w:r>
      <w:r w:rsidDel="00000000" w:rsidR="00000000" w:rsidRPr="00000000">
        <w:rPr>
          <w:rtl w:val="0"/>
        </w:rPr>
      </w:r>
    </w:p>
    <w:p w:rsidR="00000000" w:rsidDel="00000000" w:rsidP="00000000" w:rsidRDefault="00000000" w:rsidRPr="00000000" w14:paraId="0000004C">
      <w:pPr>
        <w:ind w:left="360" w:firstLine="0"/>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D">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Odběr objemného odpadu je umožněn </w:t>
      </w:r>
      <w:r w:rsidDel="00000000" w:rsidR="00000000" w:rsidRPr="00000000">
        <w:rPr>
          <w:rFonts w:ascii="Arial" w:cs="Arial" w:eastAsia="Arial" w:hAnsi="Arial"/>
          <w:b w:val="1"/>
          <w:bCs w:val="1"/>
          <w:sz w:val="22"/>
          <w:szCs w:val="22"/>
          <w:rtl w:val="0"/>
        </w:rPr>
        <w:t xml:space="preserve">nepodnikajícím fyzickým osobám</w:t>
      </w:r>
      <w:r w:rsidDel="00000000" w:rsidR="00000000" w:rsidRPr="00000000">
        <w:rPr>
          <w:rFonts w:ascii="Arial" w:cs="Arial" w:eastAsia="Arial" w:hAnsi="Arial"/>
          <w:sz w:val="22"/>
          <w:szCs w:val="22"/>
          <w:rtl w:val="0"/>
        </w:rPr>
        <w:t xml:space="preserve"> zapojených do obecního systému odpadového hospodářství obce Kněžnice  ve sběrném dvoře Technických služeb Města Jičína, příspěvkové organizace (dále TS Jičín). Odběr je umožněn po celý rok v provozních hodinách TS Jičín. </w:t>
      </w:r>
    </w:p>
    <w:p w:rsidR="00000000" w:rsidDel="00000000" w:rsidP="00000000" w:rsidRDefault="00000000" w:rsidRPr="00000000" w14:paraId="0000004E">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Odložení objemného odpadu na sběrném dvoře TS Jičín bude nepodnikajícím fyzickým osobám obce umožněno pouze po prokázání jejich totožnosti a po prokázání, že jde o poplatníka obce Kněžnice. Odložení je zdarma.</w:t>
      </w:r>
    </w:p>
    <w:p w:rsidR="00000000" w:rsidDel="00000000" w:rsidP="00000000" w:rsidRDefault="00000000" w:rsidRPr="00000000" w14:paraId="00000050">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Odložení objemného odpadu je umožněno za podmínek stanovených v provozním řádu sběrného dvora TS Jičín. Provozní řád sběrného dvora TS Jičín je k dispozici na webových stránkách obce v sekci Odpady.</w:t>
      </w:r>
      <w:r w:rsidDel="00000000" w:rsidR="00000000" w:rsidRPr="00000000">
        <w:rPr>
          <w:rFonts w:ascii="Arial" w:cs="Arial" w:eastAsia="Arial" w:hAnsi="Arial"/>
          <w:sz w:val="22"/>
          <w:szCs w:val="22"/>
          <w:vertAlign w:val="superscript"/>
          <w:rtl w:val="0"/>
        </w:rPr>
        <w:t xml:space="preserve">3</w:t>
      </w:r>
      <w:r w:rsidDel="00000000" w:rsidR="00000000" w:rsidRPr="00000000">
        <w:rPr>
          <w:rtl w:val="0"/>
        </w:rPr>
      </w:r>
    </w:p>
    <w:p w:rsidR="00000000" w:rsidDel="00000000" w:rsidP="00000000" w:rsidRDefault="00000000" w:rsidRPr="00000000" w14:paraId="0000005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Čl. 6</w:t>
      </w:r>
    </w:p>
    <w:p w:rsidR="00000000" w:rsidDel="00000000" w:rsidP="00000000" w:rsidRDefault="00000000" w:rsidRPr="00000000" w14:paraId="00000055">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Soustřeďování směsného komunálního odpadu </w:t>
      </w:r>
    </w:p>
    <w:p w:rsidR="00000000" w:rsidDel="00000000" w:rsidP="00000000" w:rsidRDefault="00000000" w:rsidRPr="00000000" w14:paraId="0000005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widowControl w:val="0"/>
        <w:numPr>
          <w:ilvl w:val="0"/>
          <w:numId w:val="8"/>
        </w:numPr>
        <w:ind w:left="426" w:hanging="42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Směsný komunální odpad se odkládá do sběrných nádob. Pro účely této vyhlášky se sběrnými nádobami rozumějí:</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popelnice,</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sběrné plastové pytle označené logem svozové společnosti,</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odpadkové koše, které jsou umístěny na veřejných prostranstvích v obci, sloužící pro odkládání drobného směsného komunálního odpadu.</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ind w:left="0" w:firstLine="0"/>
        <w:jc w:val="both"/>
        <w:rPr>
          <w:sz w:val="22"/>
          <w:szCs w:val="22"/>
        </w:rPr>
      </w:pPr>
      <w:r w:rsidDel="00000000" w:rsidR="00000000" w:rsidRPr="00000000">
        <w:rPr>
          <w:rFonts w:ascii="Arial" w:cs="Arial" w:eastAsia="Arial" w:hAnsi="Arial"/>
          <w:sz w:val="22"/>
          <w:szCs w:val="22"/>
          <w:rtl w:val="0"/>
        </w:rPr>
        <w:t xml:space="preserve">2)</w:t>
      </w:r>
      <w:r w:rsidDel="00000000" w:rsidR="00000000" w:rsidRPr="00000000">
        <w:rPr>
          <w:rtl w:val="0"/>
        </w:rPr>
        <w:t xml:space="preserve">   </w:t>
      </w:r>
      <w:r w:rsidDel="00000000" w:rsidR="00000000" w:rsidRPr="00000000">
        <w:rPr>
          <w:rFonts w:ascii="Arial" w:cs="Arial" w:eastAsia="Arial" w:hAnsi="Arial"/>
          <w:sz w:val="22"/>
          <w:szCs w:val="22"/>
          <w:rtl w:val="0"/>
        </w:rPr>
        <w:t xml:space="preserve">Soustřeďování směsného komunálního odpadu podléhá požadavkům stanoveným </w:t>
        <w:br w:type="textWrapping"/>
        <w:t xml:space="preserve">      v čl. 3 odst. 4 a 5. Stanoviště sběrných pytlů je vedle sběrných nádob.</w:t>
      </w:r>
      <w:r w:rsidDel="00000000" w:rsidR="00000000" w:rsidRPr="00000000">
        <w:rPr>
          <w:rtl w:val="0"/>
        </w:rPr>
      </w:r>
    </w:p>
    <w:p w:rsidR="00000000" w:rsidDel="00000000" w:rsidP="00000000" w:rsidRDefault="00000000" w:rsidRPr="00000000" w14:paraId="0000005D">
      <w:pPr>
        <w:ind w:left="426" w:firstLine="0"/>
        <w:jc w:val="both"/>
        <w:rPr>
          <w:rFonts w:ascii="Arial" w:cs="Arial" w:eastAsia="Arial" w:hAnsi="Arial"/>
          <w:color w:val="00b0f0"/>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Čl. 7</w:t>
      </w:r>
    </w:p>
    <w:p w:rsidR="00000000" w:rsidDel="00000000" w:rsidP="00000000" w:rsidRDefault="00000000" w:rsidRPr="00000000" w14:paraId="0000006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Závěrečná ustanovení</w:t>
      </w:r>
    </w:p>
    <w:p w:rsidR="00000000" w:rsidDel="00000000" w:rsidP="00000000" w:rsidRDefault="00000000" w:rsidRPr="00000000" w14:paraId="00000061">
      <w:pPr>
        <w:ind w:left="360" w:firstLine="0"/>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62">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Ruší se obecně závazná vyhláška o stanovení obecního systému odpadového hospodářství ze dne 2. 3. 2026.</w:t>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Tato vyhláška nabývá účinnosti počátkem patnáctého dne po dni jejího vyhlášení.</w:t>
      </w:r>
    </w:p>
    <w:p w:rsidR="00000000" w:rsidDel="00000000" w:rsidP="00000000" w:rsidRDefault="00000000" w:rsidRPr="00000000" w14:paraId="00000065">
      <w:pPr>
        <w:ind w:left="5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76" w:lineRule="auto"/>
        <w:jc w:val="both"/>
        <w:rPr>
          <w:rFonts w:ascii="Arial" w:cs="Arial" w:eastAsia="Arial" w:hAnsi="Arial"/>
        </w:rPr>
      </w:pPr>
      <w:r w:rsidDel="00000000" w:rsidR="00000000" w:rsidRPr="00000000">
        <w:rPr>
          <w:rFonts w:ascii="Arial" w:cs="Arial" w:eastAsia="Arial" w:hAnsi="Arial"/>
          <w:rtl w:val="0"/>
        </w:rPr>
        <w:t xml:space="preserve">………………………………..</w:t>
        <w:tab/>
        <w:tab/>
        <w:tab/>
        <w:tab/>
        <w:t xml:space="preserve">………………………………</w:t>
      </w:r>
    </w:p>
    <w:p w:rsidR="00000000" w:rsidDel="00000000" w:rsidP="00000000" w:rsidRDefault="00000000" w:rsidRPr="00000000" w14:paraId="00000068">
      <w:pPr>
        <w:tabs>
          <w:tab w:val="center" w:leader="none" w:pos="1701"/>
          <w:tab w:val="center" w:leader="none" w:pos="7371"/>
        </w:tabs>
        <w:jc w:val="both"/>
        <w:rPr>
          <w:rFonts w:ascii="Arial" w:cs="Arial" w:eastAsia="Arial" w:hAnsi="Arial"/>
          <w:sz w:val="22"/>
          <w:szCs w:val="22"/>
        </w:rPr>
      </w:pPr>
      <w:r w:rsidDel="00000000" w:rsidR="00000000" w:rsidRPr="00000000">
        <w:rPr>
          <w:rFonts w:ascii="Arial" w:cs="Arial" w:eastAsia="Arial" w:hAnsi="Arial"/>
          <w:rtl w:val="0"/>
        </w:rPr>
        <w:tab/>
      </w:r>
      <w:r w:rsidDel="00000000" w:rsidR="00000000" w:rsidRPr="00000000">
        <w:rPr>
          <w:rFonts w:ascii="Arial" w:cs="Arial" w:eastAsia="Arial" w:hAnsi="Arial"/>
          <w:sz w:val="22"/>
          <w:szCs w:val="22"/>
          <w:rtl w:val="0"/>
        </w:rPr>
        <w:t xml:space="preserve">Tomáš Patzelt v. r.</w:t>
        <w:tab/>
        <w:t xml:space="preserve">Tomáš Molnár v. r.</w:t>
      </w:r>
    </w:p>
    <w:p w:rsidR="00000000" w:rsidDel="00000000" w:rsidP="00000000" w:rsidRDefault="00000000" w:rsidRPr="00000000" w14:paraId="00000069">
      <w:pPr>
        <w:tabs>
          <w:tab w:val="center" w:leader="none" w:pos="1701"/>
          <w:tab w:val="center" w:leader="none" w:pos="7371"/>
        </w:tabs>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tab/>
        <w:t xml:space="preserve">starosta </w:t>
        <w:tab/>
        <w:t xml:space="preserve">   místostarosta </w:t>
      </w:r>
      <w:r w:rsidDel="00000000" w:rsidR="00000000" w:rsidRPr="00000000">
        <w:rPr>
          <w:rtl w:val="0"/>
        </w:rPr>
      </w:r>
    </w:p>
    <w:sectPr>
      <w:footerReference r:id="rId8" w:type="default"/>
      <w:pgSz w:h="16838" w:w="11906" w:orient="portrait"/>
      <w:pgMar w:bottom="1985" w:top="1418" w:left="1418" w:right="1418"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61 zákona o odpadech</w:t>
      </w:r>
    </w:p>
  </w:footnote>
  <w:footnote w:id="1">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60 zákona o odpadech</w:t>
      </w:r>
      <w:r w:rsidDel="00000000" w:rsidR="00000000" w:rsidRPr="00000000">
        <w:rPr>
          <w:rtl w:val="0"/>
        </w:rPr>
      </w:r>
    </w:p>
  </w:footnote>
  <w:footnote w:id="2">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https://www.kneznice.cz/urad/odpady</w:t>
        </w:r>
      </w:hyperlink>
      <w:r w:rsidDel="00000000" w:rsidR="00000000" w:rsidRPr="00000000">
        <w:rPr>
          <w:rtl w:val="0"/>
        </w:rPr>
      </w:r>
    </w:p>
  </w:footnote>
  <w:footnote w:id="3">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Do sběrné nádoby se odkládají v uzavřené plastové lahvi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86" w:hanging="360.0000000000002"/>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b w:val="0"/>
        <w:bCs w:val="0"/>
        <w:u w:val="none"/>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i w:val="0"/>
        <w:i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both"/>
    </w:pPr>
    <w:rPr>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neznice.cz/urad/od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