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40"/>
          <w:szCs w:val="40"/>
        </w:rPr>
      </w:pPr>
      <w:r>
        <w:rPr>
          <w:b/>
          <w:sz w:val="40"/>
          <w:szCs w:val="40"/>
        </w:rPr>
        <w:t>O B E C   H E Ř M A N O V</w:t>
      </w:r>
    </w:p>
    <w:p>
      <w:pPr>
        <w:pStyle w:val="Normal"/>
        <w:jc w:val="center"/>
        <w:rPr>
          <w:b/>
          <w:bCs/>
        </w:rPr>
      </w:pPr>
      <w:r>
        <w:rPr>
          <w:b/>
          <w:bCs/>
        </w:rPr>
      </w:r>
    </w:p>
    <w:p>
      <w:pPr>
        <w:pStyle w:val="Normal"/>
        <w:jc w:val="center"/>
        <w:rPr>
          <w:b/>
          <w:bCs/>
          <w:sz w:val="32"/>
        </w:rPr>
      </w:pPr>
      <w:r>
        <w:rPr>
          <w:b/>
          <w:bCs/>
          <w:sz w:val="32"/>
        </w:rPr>
        <w:t xml:space="preserve">ZASTUPITELSTVO OBCE HEŘMANOV </w:t>
      </w:r>
    </w:p>
    <w:p>
      <w:pPr>
        <w:pStyle w:val="Normal"/>
        <w:jc w:val="center"/>
        <w:rPr>
          <w:b/>
          <w:bCs/>
        </w:rPr>
      </w:pPr>
      <w:r>
        <w:rPr>
          <w:b/>
          <w:bCs/>
        </w:rPr>
      </w:r>
    </w:p>
    <w:p>
      <w:pPr>
        <w:pStyle w:val="Normal"/>
        <w:jc w:val="center"/>
        <w:rPr>
          <w:b/>
          <w:bCs/>
          <w:sz w:val="32"/>
          <w:szCs w:val="32"/>
        </w:rPr>
      </w:pPr>
      <w:r>
        <w:rPr>
          <w:b/>
          <w:bCs/>
          <w:sz w:val="32"/>
          <w:szCs w:val="32"/>
        </w:rPr>
        <w:t>Obecně závazná vyhláška</w:t>
      </w:r>
    </w:p>
    <w:p>
      <w:pPr>
        <w:pStyle w:val="Normal"/>
        <w:jc w:val="center"/>
        <w:rPr>
          <w:b/>
          <w:bCs/>
        </w:rPr>
      </w:pPr>
      <w:r>
        <w:rPr>
          <w:b/>
          <w:bCs/>
        </w:rPr>
      </w:r>
    </w:p>
    <w:p>
      <w:pPr>
        <w:pStyle w:val="Normal"/>
        <w:jc w:val="center"/>
        <w:rPr>
          <w:b/>
          <w:color w:val="000000"/>
          <w:sz w:val="28"/>
          <w:szCs w:val="26"/>
        </w:rPr>
      </w:pPr>
      <w:r>
        <w:rPr>
          <w:b/>
          <w:color w:val="000000"/>
          <w:sz w:val="28"/>
          <w:szCs w:val="26"/>
        </w:rPr>
        <w:t>o místním poplatku ze psů</w:t>
      </w:r>
    </w:p>
    <w:p>
      <w:pPr>
        <w:pStyle w:val="Normal"/>
        <w:tabs>
          <w:tab w:val="clear" w:pos="709"/>
          <w:tab w:val="left" w:pos="5130" w:leader="none"/>
        </w:tabs>
        <w:rPr>
          <w:b/>
        </w:rPr>
      </w:pPr>
      <w:r>
        <w:rPr>
          <w:b/>
        </w:rPr>
      </w:r>
    </w:p>
    <w:p>
      <w:pPr>
        <w:pStyle w:val="BodyTextIndent"/>
        <w:ind w:hanging="0" w:left="0"/>
        <w:rPr/>
      </w:pPr>
      <w:r>
        <w:rPr>
          <w:i/>
        </w:rPr>
        <w:t>Zastupitelstvo obce Heřmanov se na svém zasedání dne 23. října 2025 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pPr>
        <w:pStyle w:val="Normal"/>
        <w:jc w:val="center"/>
        <w:rPr>
          <w:b/>
        </w:rPr>
      </w:pPr>
      <w:r>
        <w:rPr>
          <w:b/>
        </w:rPr>
      </w:r>
    </w:p>
    <w:p>
      <w:pPr>
        <w:pStyle w:val="Normal"/>
        <w:jc w:val="center"/>
        <w:rPr>
          <w:b/>
        </w:rPr>
      </w:pPr>
      <w:r>
        <w:rPr>
          <w:b/>
        </w:rPr>
        <w:t>Článek 1</w:t>
      </w:r>
    </w:p>
    <w:p>
      <w:pPr>
        <w:pStyle w:val="Normal"/>
        <w:jc w:val="center"/>
        <w:rPr>
          <w:b/>
        </w:rPr>
      </w:pPr>
      <w:r>
        <w:rPr>
          <w:b/>
        </w:rPr>
        <w:t>Úvodní ustanovení</w:t>
      </w:r>
    </w:p>
    <w:p>
      <w:pPr>
        <w:pStyle w:val="Normal"/>
        <w:jc w:val="both"/>
        <w:rPr/>
      </w:pPr>
      <w:r>
        <w:rPr/>
      </w:r>
    </w:p>
    <w:p>
      <w:pPr>
        <w:pStyle w:val="Normal"/>
        <w:numPr>
          <w:ilvl w:val="0"/>
          <w:numId w:val="1"/>
        </w:numPr>
        <w:jc w:val="both"/>
        <w:rPr/>
      </w:pPr>
      <w:r>
        <w:rPr/>
        <w:t>Obec Heřmanov zavádí touto vyhláškou místní poplatek ze psů (dále jen „poplatek“).</w:t>
      </w:r>
    </w:p>
    <w:p>
      <w:pPr>
        <w:pStyle w:val="Normal"/>
        <w:numPr>
          <w:ilvl w:val="0"/>
          <w:numId w:val="1"/>
        </w:numPr>
        <w:jc w:val="both"/>
        <w:rPr/>
      </w:pPr>
      <w:r>
        <w:rPr/>
        <w:t>Správcem poplatku je obecní úřad.</w:t>
      </w:r>
      <w:r>
        <w:rPr>
          <w:rStyle w:val="FootnoteReference"/>
          <w:vertAlign w:val="superscript"/>
        </w:rPr>
        <w:footnoteReference w:id="2"/>
      </w:r>
      <w:r>
        <w:rPr>
          <w:vertAlign w:val="superscript"/>
        </w:rPr>
        <w:t>)</w:t>
      </w:r>
    </w:p>
    <w:p>
      <w:pPr>
        <w:pStyle w:val="Normal"/>
        <w:numPr>
          <w:ilvl w:val="0"/>
          <w:numId w:val="1"/>
        </w:numPr>
        <w:rPr/>
      </w:pPr>
      <w:r>
        <w:rPr/>
        <w:t>Poplatkové období</w:t>
      </w:r>
      <w:r>
        <w:rPr>
          <w:rStyle w:val="FootnoteReference"/>
        </w:rPr>
        <w:footnoteReference w:id="3"/>
      </w:r>
      <w:r>
        <w:rPr>
          <w:vertAlign w:val="superscript"/>
        </w:rPr>
        <w:t>)</w:t>
      </w:r>
      <w:r>
        <w:rPr/>
        <w:t xml:space="preserve"> vymezuje zákon.</w:t>
      </w:r>
    </w:p>
    <w:p>
      <w:pPr>
        <w:pStyle w:val="Normal"/>
        <w:numPr>
          <w:ilvl w:val="0"/>
          <w:numId w:val="1"/>
        </w:numPr>
        <w:jc w:val="both"/>
        <w:rPr/>
      </w:pPr>
      <w:r>
        <w:rPr/>
        <w:t>Poplatkový subjekt vymezuje zákon.</w:t>
      </w:r>
      <w:r>
        <w:rPr>
          <w:rStyle w:val="FootnoteReference"/>
        </w:rPr>
        <w:footnoteReference w:id="4"/>
      </w:r>
      <w:r>
        <w:rPr>
          <w:vertAlign w:val="superscript"/>
        </w:rPr>
        <w:t>)</w:t>
      </w:r>
    </w:p>
    <w:p>
      <w:pPr>
        <w:pStyle w:val="Normal"/>
        <w:jc w:val="both"/>
        <w:rPr>
          <w:sz w:val="20"/>
          <w:szCs w:val="20"/>
        </w:rPr>
      </w:pPr>
      <w:r>
        <w:rPr>
          <w:sz w:val="20"/>
          <w:szCs w:val="20"/>
        </w:rPr>
      </w:r>
    </w:p>
    <w:p>
      <w:pPr>
        <w:pStyle w:val="Heading1"/>
        <w:keepNext w:val="false"/>
        <w:widowControl w:val="false"/>
        <w:rPr/>
      </w:pPr>
      <w:r>
        <w:rPr/>
        <w:t>Článek 2</w:t>
      </w:r>
    </w:p>
    <w:p>
      <w:pPr>
        <w:pStyle w:val="Heading1"/>
        <w:keepNext w:val="false"/>
        <w:widowControl w:val="false"/>
        <w:rPr>
          <w:b w:val="false"/>
          <w:bCs w:val="false"/>
        </w:rPr>
      </w:pPr>
      <w:r>
        <w:rPr/>
        <w:t>Předmět poplatku a poplatník</w:t>
      </w:r>
    </w:p>
    <w:p>
      <w:pPr>
        <w:pStyle w:val="BodyText"/>
        <w:spacing w:before="0" w:after="0"/>
        <w:rPr>
          <w:sz w:val="20"/>
          <w:szCs w:val="20"/>
        </w:rPr>
      </w:pPr>
      <w:r>
        <w:rPr>
          <w:sz w:val="20"/>
          <w:szCs w:val="20"/>
        </w:rPr>
      </w:r>
    </w:p>
    <w:p>
      <w:pPr>
        <w:pStyle w:val="Normal"/>
        <w:numPr>
          <w:ilvl w:val="0"/>
          <w:numId w:val="3"/>
        </w:numPr>
        <w:jc w:val="both"/>
        <w:rPr/>
      </w:pPr>
      <w:r>
        <w:rPr/>
        <w:t>Předmět poplatku upravuje zákon.</w:t>
      </w:r>
      <w:r>
        <w:rPr>
          <w:rStyle w:val="FootnoteReference"/>
        </w:rPr>
        <w:footnoteReference w:id="5"/>
      </w:r>
      <w:r>
        <w:rPr>
          <w:vertAlign w:val="superscript"/>
        </w:rPr>
        <w:t>)</w:t>
      </w:r>
    </w:p>
    <w:p>
      <w:pPr>
        <w:pStyle w:val="Normal"/>
        <w:numPr>
          <w:ilvl w:val="0"/>
          <w:numId w:val="3"/>
        </w:numPr>
        <w:jc w:val="both"/>
        <w:rPr/>
      </w:pPr>
      <w:r>
        <w:rPr/>
        <w:t>Poplatníka vymezuje zákon.</w:t>
      </w:r>
      <w:r>
        <w:rPr>
          <w:rStyle w:val="FootnoteReference"/>
        </w:rPr>
        <w:footnoteReference w:id="6"/>
      </w:r>
      <w:r>
        <w:rPr>
          <w:vertAlign w:val="superscript"/>
        </w:rPr>
        <w:t>)</w:t>
      </w:r>
    </w:p>
    <w:p>
      <w:pPr>
        <w:pStyle w:val="BodyText"/>
        <w:spacing w:before="0" w:after="0"/>
        <w:rPr>
          <w:sz w:val="20"/>
          <w:szCs w:val="20"/>
          <w:highlight w:val="magenta"/>
        </w:rPr>
      </w:pPr>
      <w:r>
        <w:rPr>
          <w:sz w:val="20"/>
          <w:szCs w:val="20"/>
          <w:highlight w:val="magenta"/>
        </w:rPr>
      </w:r>
    </w:p>
    <w:p>
      <w:pPr>
        <w:pStyle w:val="Normal"/>
        <w:jc w:val="center"/>
        <w:rPr>
          <w:b/>
        </w:rPr>
      </w:pPr>
      <w:r>
        <w:rPr>
          <w:b/>
        </w:rPr>
        <w:t>Článek 3</w:t>
      </w:r>
    </w:p>
    <w:p>
      <w:pPr>
        <w:pStyle w:val="Normal"/>
        <w:jc w:val="center"/>
        <w:rPr>
          <w:b/>
          <w:bCs/>
        </w:rPr>
      </w:pPr>
      <w:r>
        <w:rPr>
          <w:b/>
          <w:bCs/>
        </w:rPr>
        <w:t>Ohlašovací povinnost</w:t>
      </w:r>
    </w:p>
    <w:p>
      <w:pPr>
        <w:pStyle w:val="Normal"/>
        <w:rPr/>
      </w:pPr>
      <w:r>
        <w:rPr/>
      </w:r>
    </w:p>
    <w:p>
      <w:pPr>
        <w:pStyle w:val="BodyText"/>
        <w:numPr>
          <w:ilvl w:val="0"/>
          <w:numId w:val="4"/>
        </w:numPr>
        <w:spacing w:before="0" w:after="0"/>
        <w:jc w:val="both"/>
        <w:rPr/>
      </w:pPr>
      <w:r>
        <w:rPr/>
        <w:t>Poplatník je povinen podat správci poplatku ohlášení do 15 dnů od vzniku poplatkové povinnosti. Ve stejné lhůtě se ohlašuje nárok na osvobození, existoval-li důvod osvobození v okamžiku vzniku poplatkové povinnosti.</w:t>
      </w:r>
    </w:p>
    <w:p>
      <w:pPr>
        <w:pStyle w:val="Normln2"/>
        <w:numPr>
          <w:ilvl w:val="0"/>
          <w:numId w:val="4"/>
        </w:numPr>
        <w:jc w:val="both"/>
        <w:rPr>
          <w:bCs/>
          <w:szCs w:val="24"/>
        </w:rPr>
      </w:pPr>
      <w:r>
        <w:rPr/>
        <w:t>Obsah ohlášení upravuje zákon.</w:t>
      </w:r>
      <w:r>
        <w:rPr>
          <w:rStyle w:val="FootnoteReference"/>
        </w:rPr>
        <w:footnoteReference w:id="7"/>
      </w:r>
      <w:r>
        <w:rPr>
          <w:szCs w:val="24"/>
          <w:vertAlign w:val="superscript"/>
        </w:rPr>
        <w:t>)</w:t>
      </w:r>
    </w:p>
    <w:p>
      <w:pPr>
        <w:pStyle w:val="Normln2"/>
        <w:numPr>
          <w:ilvl w:val="0"/>
          <w:numId w:val="4"/>
        </w:numPr>
        <w:jc w:val="both"/>
        <w:rPr>
          <w:bCs/>
          <w:szCs w:val="24"/>
        </w:rPr>
      </w:pPr>
      <w:r>
        <w:rPr>
          <w:bCs/>
          <w:szCs w:val="24"/>
        </w:rPr>
        <w:t>Postup při změně</w:t>
      </w:r>
      <w:r>
        <w:rPr>
          <w:rStyle w:val="FootnoteReference"/>
          <w:bCs/>
          <w:szCs w:val="24"/>
        </w:rPr>
        <w:footnoteReference w:id="8"/>
      </w:r>
      <w:r>
        <w:rPr>
          <w:bCs/>
          <w:szCs w:val="24"/>
          <w:vertAlign w:val="superscript"/>
        </w:rPr>
        <w:t>)</w:t>
      </w:r>
      <w:r>
        <w:rPr>
          <w:bCs/>
          <w:szCs w:val="24"/>
        </w:rPr>
        <w:t xml:space="preserve"> údajů uvedených v ohlášení upravuje zákon.</w:t>
      </w:r>
      <w:r>
        <w:rPr>
          <w:rStyle w:val="FootnoteReference"/>
          <w:bCs/>
          <w:szCs w:val="24"/>
        </w:rPr>
        <w:footnoteReference w:id="9"/>
      </w:r>
      <w:r>
        <w:rPr>
          <w:bCs/>
          <w:szCs w:val="24"/>
          <w:vertAlign w:val="superscript"/>
        </w:rPr>
        <w:t>)</w:t>
      </w:r>
      <w:r>
        <w:rPr>
          <w:bCs/>
          <w:szCs w:val="24"/>
        </w:rPr>
        <w:t xml:space="preserve"> </w:t>
      </w:r>
    </w:p>
    <w:p>
      <w:pPr>
        <w:pStyle w:val="Normal"/>
        <w:numPr>
          <w:ilvl w:val="0"/>
          <w:numId w:val="4"/>
        </w:numPr>
        <w:jc w:val="both"/>
        <w:rPr>
          <w:sz w:val="23"/>
          <w:szCs w:val="23"/>
        </w:rPr>
      </w:pPr>
      <w:r>
        <w:rPr>
          <w:sz w:val="23"/>
          <w:szCs w:val="23"/>
        </w:rPr>
        <w:t>Důsledky nesplnění ohlašovací povinnosti ke vzniku osvobození stanoví zákon.</w:t>
      </w:r>
      <w:r>
        <w:rPr>
          <w:rStyle w:val="FootnoteReference"/>
          <w:sz w:val="23"/>
          <w:szCs w:val="23"/>
        </w:rPr>
        <w:footnoteReference w:id="10"/>
      </w:r>
      <w:r>
        <w:rPr>
          <w:sz w:val="23"/>
          <w:szCs w:val="23"/>
          <w:vertAlign w:val="superscript"/>
        </w:rPr>
        <w:t>)</w:t>
      </w:r>
    </w:p>
    <w:p>
      <w:pPr>
        <w:pStyle w:val="Normln2"/>
        <w:jc w:val="both"/>
        <w:rPr>
          <w:bCs/>
          <w:sz w:val="20"/>
          <w:highlight w:val="magenta"/>
        </w:rPr>
      </w:pPr>
      <w:r>
        <w:rPr>
          <w:bCs/>
          <w:sz w:val="20"/>
          <w:highlight w:val="magenta"/>
        </w:rPr>
      </w:r>
    </w:p>
    <w:p>
      <w:pPr>
        <w:pStyle w:val="Normal"/>
        <w:jc w:val="center"/>
        <w:rPr>
          <w:b/>
          <w:bCs/>
        </w:rPr>
      </w:pPr>
      <w:r>
        <w:rPr>
          <w:b/>
          <w:bCs/>
        </w:rPr>
        <w:t>Článek 4</w:t>
      </w:r>
    </w:p>
    <w:p>
      <w:pPr>
        <w:pStyle w:val="Normal"/>
        <w:jc w:val="center"/>
        <w:rPr>
          <w:b/>
          <w:bCs/>
        </w:rPr>
      </w:pPr>
      <w:r>
        <w:rPr>
          <w:b/>
          <w:bCs/>
        </w:rPr>
        <w:t>Sazba poplatku</w:t>
      </w:r>
    </w:p>
    <w:p>
      <w:pPr>
        <w:pStyle w:val="Normal"/>
        <w:jc w:val="both"/>
        <w:rPr/>
      </w:pPr>
      <w:r>
        <w:rPr/>
      </w:r>
    </w:p>
    <w:tbl>
      <w:tblPr>
        <w:tblW w:w="9072"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40"/>
        <w:gridCol w:w="4622"/>
        <w:gridCol w:w="1984"/>
        <w:gridCol w:w="2125"/>
      </w:tblGrid>
      <w:tr>
        <w:trPr/>
        <w:tc>
          <w:tcPr>
            <w:tcW w:w="4962" w:type="dxa"/>
            <w:gridSpan w:val="2"/>
            <w:tcBorders>
              <w:bottom w:val="single" w:sz="4" w:space="0" w:color="000000"/>
              <w:right w:val="single" w:sz="4" w:space="0" w:color="000000"/>
            </w:tcBorders>
          </w:tcPr>
          <w:p>
            <w:pPr>
              <w:pStyle w:val="BodyTextIndent3"/>
              <w:spacing w:before="0" w:after="0"/>
              <w:ind w:left="0"/>
              <w:rPr>
                <w:sz w:val="24"/>
                <w:szCs w:val="24"/>
              </w:rPr>
            </w:pPr>
            <w:r>
              <w:rPr>
                <w:sz w:val="24"/>
                <w:szCs w:val="24"/>
              </w:rPr>
            </w:r>
          </w:p>
          <w:p>
            <w:pPr>
              <w:pStyle w:val="BodyTextIndent3"/>
              <w:spacing w:before="0" w:after="0"/>
              <w:ind w:left="0"/>
              <w:rPr>
                <w:sz w:val="24"/>
                <w:szCs w:val="24"/>
              </w:rPr>
            </w:pPr>
            <w:r>
              <w:rPr>
                <w:sz w:val="24"/>
                <w:szCs w:val="24"/>
              </w:rPr>
              <w:t>Sazba poplatku činí za kalendářní rok:</w:t>
            </w:r>
          </w:p>
          <w:p>
            <w:pPr>
              <w:pStyle w:val="Normal"/>
              <w:jc w:val="center"/>
              <w:rPr/>
            </w:pPr>
            <w:r>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za jednoho psa</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za druhého a každého dalšího psa téhož držitele</w:t>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rPr/>
            </w:pPr>
            <w:r>
              <w:rPr/>
              <w:t>a)</w:t>
            </w:r>
          </w:p>
        </w:tc>
        <w:tc>
          <w:tcPr>
            <w:tcW w:w="4622"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ze psa, jehož držitelem je osoba starší 65 let</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80 Kč</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yellow"/>
              </w:rPr>
            </w:pPr>
            <w:r>
              <w:rPr/>
              <w:t>160 Kč</w:t>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4622"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z jiného psa, než je uvedený v písm. a)</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80 Kč</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160 Kč</w:t>
            </w:r>
          </w:p>
        </w:tc>
      </w:tr>
    </w:tbl>
    <w:p>
      <w:pPr>
        <w:pStyle w:val="BodyText"/>
        <w:spacing w:before="0" w:after="0"/>
        <w:jc w:val="center"/>
        <w:rPr>
          <w:b/>
          <w:bCs/>
        </w:rPr>
      </w:pPr>
      <w:r>
        <w:rPr>
          <w:b/>
          <w:bCs/>
        </w:rPr>
      </w:r>
    </w:p>
    <w:p>
      <w:pPr>
        <w:pStyle w:val="BodyText"/>
        <w:spacing w:before="0" w:after="0"/>
        <w:jc w:val="center"/>
        <w:rPr>
          <w:b/>
          <w:bCs/>
        </w:rPr>
      </w:pPr>
      <w:r>
        <w:rPr>
          <w:b/>
          <w:bCs/>
        </w:rPr>
        <w:t>Článek 5</w:t>
      </w:r>
    </w:p>
    <w:p>
      <w:pPr>
        <w:pStyle w:val="BodyText"/>
        <w:spacing w:before="0" w:after="0"/>
        <w:jc w:val="center"/>
        <w:rPr>
          <w:b/>
          <w:bCs/>
        </w:rPr>
      </w:pPr>
      <w:r>
        <w:rPr>
          <w:b/>
          <w:bCs/>
        </w:rPr>
        <w:t>Osvobození</w:t>
      </w:r>
    </w:p>
    <w:p>
      <w:pPr>
        <w:pStyle w:val="BodyText"/>
        <w:spacing w:before="0" w:after="0"/>
        <w:jc w:val="center"/>
        <w:rPr>
          <w:b/>
          <w:bCs/>
        </w:rPr>
      </w:pPr>
      <w:r>
        <w:rPr>
          <w:b/>
          <w:bCs/>
        </w:rPr>
      </w:r>
    </w:p>
    <w:p>
      <w:pPr>
        <w:pStyle w:val="BodyText"/>
        <w:spacing w:before="0" w:after="0"/>
        <w:rPr/>
      </w:pPr>
      <w:r>
        <w:rPr/>
        <w:t>Důvody osvobození od poplatku stanoví zákon.</w:t>
      </w:r>
      <w:r>
        <w:rPr>
          <w:rStyle w:val="FootnoteReference"/>
        </w:rPr>
        <w:footnoteReference w:id="11"/>
      </w:r>
      <w:r>
        <w:rPr>
          <w:vertAlign w:val="superscript"/>
        </w:rPr>
        <w:t>)</w:t>
      </w:r>
    </w:p>
    <w:p>
      <w:pPr>
        <w:pStyle w:val="BodyText"/>
        <w:spacing w:before="0" w:after="0"/>
        <w:jc w:val="center"/>
        <w:rPr>
          <w:b/>
          <w:bCs/>
        </w:rPr>
      </w:pPr>
      <w:r>
        <w:rPr>
          <w:b/>
          <w:bCs/>
        </w:rPr>
      </w:r>
    </w:p>
    <w:p>
      <w:pPr>
        <w:pStyle w:val="BodyText"/>
        <w:spacing w:before="0" w:after="0"/>
        <w:jc w:val="center"/>
        <w:rPr>
          <w:b/>
          <w:bCs/>
        </w:rPr>
      </w:pPr>
      <w:r>
        <w:rPr>
          <w:b/>
          <w:bCs/>
        </w:rPr>
        <w:t>Článek 6</w:t>
      </w:r>
    </w:p>
    <w:p>
      <w:pPr>
        <w:pStyle w:val="BodyText"/>
        <w:spacing w:before="0" w:after="0"/>
        <w:jc w:val="center"/>
        <w:rPr>
          <w:b/>
          <w:bCs/>
        </w:rPr>
      </w:pPr>
      <w:r>
        <w:rPr>
          <w:b/>
          <w:bCs/>
        </w:rPr>
        <w:t>Splatnost poplatku</w:t>
      </w:r>
    </w:p>
    <w:p>
      <w:pPr>
        <w:pStyle w:val="BodyText"/>
        <w:spacing w:before="0" w:after="0"/>
        <w:jc w:val="center"/>
        <w:rPr>
          <w:b/>
          <w:bCs/>
        </w:rPr>
      </w:pPr>
      <w:r>
        <w:rPr>
          <w:b/>
          <w:bCs/>
        </w:rPr>
      </w:r>
    </w:p>
    <w:p>
      <w:pPr>
        <w:pStyle w:val="BodyText"/>
        <w:numPr>
          <w:ilvl w:val="0"/>
          <w:numId w:val="2"/>
        </w:numPr>
        <w:spacing w:before="0" w:after="0"/>
        <w:jc w:val="both"/>
        <w:rPr/>
      </w:pPr>
      <w:r>
        <w:rPr/>
        <w:t>Poplatek je splatný nejpozději do 30. 9. příslušného kalendářního roku.</w:t>
      </w:r>
    </w:p>
    <w:p>
      <w:pPr>
        <w:pStyle w:val="BodyText"/>
        <w:numPr>
          <w:ilvl w:val="0"/>
          <w:numId w:val="2"/>
        </w:numPr>
        <w:spacing w:before="0" w:after="0"/>
        <w:jc w:val="both"/>
        <w:rPr/>
      </w:pPr>
      <w:r>
        <w:rPr/>
        <w:t>V případě vzniku poplatkové povinnosti (nebo zániku osvobození) po 15. 9. příslušného kalendářního roku, je poměrná výše poplatku splatná nejpozději do 15. dne kalendářního měsíce bezprostředně navazujícího na kalendářní měsíc vzniku poplatkové povinnosti (nebo zániku osvobození).</w:t>
      </w:r>
    </w:p>
    <w:p>
      <w:pPr>
        <w:pStyle w:val="Normal"/>
        <w:numPr>
          <w:ilvl w:val="0"/>
          <w:numId w:val="2"/>
        </w:numPr>
        <w:jc w:val="both"/>
        <w:rPr/>
      </w:pPr>
      <w:r>
        <w:rPr/>
        <w:t>Lhůta splatnosti neskončí poplatníkovi dříve než lhůta pro podání ohlášení dle čl. 3 odst. 1, popř. odst. 3, této vyhlášky.</w:t>
      </w:r>
    </w:p>
    <w:p>
      <w:pPr>
        <w:pStyle w:val="Normal"/>
        <w:jc w:val="both"/>
        <w:rPr/>
      </w:pPr>
      <w:r>
        <w:rPr/>
      </w:r>
    </w:p>
    <w:p>
      <w:pPr>
        <w:pStyle w:val="slalnk"/>
        <w:keepNext w:val="false"/>
        <w:keepLines w:val="false"/>
        <w:widowControl w:val="false"/>
        <w:spacing w:before="0" w:after="0"/>
        <w:rPr>
          <w:szCs w:val="24"/>
        </w:rPr>
      </w:pPr>
      <w:r>
        <w:rPr>
          <w:szCs w:val="24"/>
        </w:rPr>
        <w:t>Článek 7</w:t>
      </w:r>
    </w:p>
    <w:p>
      <w:pPr>
        <w:pStyle w:val="Nzvylnk"/>
        <w:keepNext w:val="false"/>
        <w:keepLines w:val="false"/>
        <w:widowControl w:val="false"/>
        <w:spacing w:before="0" w:after="0"/>
        <w:rPr>
          <w:szCs w:val="24"/>
        </w:rPr>
      </w:pPr>
      <w:r>
        <w:rPr>
          <w:szCs w:val="24"/>
        </w:rPr>
        <w:t>Účinnost</w:t>
      </w:r>
    </w:p>
    <w:p>
      <w:pPr>
        <w:pStyle w:val="Normal"/>
        <w:jc w:val="both"/>
        <w:rPr/>
      </w:pPr>
      <w:r>
        <w:rPr/>
      </w:r>
    </w:p>
    <w:p>
      <w:pPr>
        <w:pStyle w:val="Normal"/>
        <w:jc w:val="both"/>
        <w:rPr/>
      </w:pPr>
      <w:r>
        <w:rPr/>
        <w:t xml:space="preserve">                     </w:t>
      </w:r>
      <w:r>
        <w:rPr/>
        <w:t xml:space="preserve">Tato </w:t>
      </w:r>
      <w:r>
        <w:rPr/>
        <w:t xml:space="preserve">obecně závazná </w:t>
      </w:r>
      <w:r>
        <w:rPr/>
        <w:t xml:space="preserve">vyhláška nabývá účinnosti </w:t>
      </w:r>
      <w:r>
        <w:rPr/>
        <w:t>dnem 1.1. 2026</w:t>
      </w:r>
    </w:p>
    <w:p>
      <w:pPr>
        <w:pStyle w:val="Normal"/>
        <w:ind w:firstLine="708"/>
        <w:jc w:val="both"/>
        <w:rPr>
          <w:highlight w:val="yellow"/>
        </w:rPr>
      </w:pPr>
      <w:r>
        <w:rPr/>
      </w:r>
    </w:p>
    <w:tbl>
      <w:tblPr>
        <w:tblW w:w="903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35"/>
        <w:gridCol w:w="4499"/>
      </w:tblGrid>
      <w:tr>
        <w:trPr/>
        <w:tc>
          <w:tcPr>
            <w:tcW w:w="4535" w:type="dxa"/>
            <w:tcBorders/>
          </w:tcPr>
          <w:p>
            <w:pPr>
              <w:pStyle w:val="Normal"/>
              <w:jc w:val="center"/>
              <w:rPr/>
            </w:pPr>
            <w:r>
              <w:rPr/>
              <w:t>_____________________________</w:t>
            </w:r>
          </w:p>
        </w:tc>
        <w:tc>
          <w:tcPr>
            <w:tcW w:w="4499" w:type="dxa"/>
            <w:tcBorders/>
          </w:tcPr>
          <w:p>
            <w:pPr>
              <w:pStyle w:val="Normal"/>
              <w:jc w:val="center"/>
              <w:rPr/>
            </w:pPr>
            <w:r>
              <w:rPr/>
              <w:t>_____________________________</w:t>
            </w:r>
          </w:p>
        </w:tc>
      </w:tr>
      <w:tr>
        <w:trPr/>
        <w:tc>
          <w:tcPr>
            <w:tcW w:w="4535" w:type="dxa"/>
            <w:tcBorders/>
          </w:tcPr>
          <w:p>
            <w:pPr>
              <w:pStyle w:val="Normal"/>
              <w:jc w:val="center"/>
              <w:rPr/>
            </w:pPr>
            <w:r>
              <w:rPr/>
              <w:t>Josef Kučera v. r.</w:t>
            </w:r>
          </w:p>
          <w:p>
            <w:pPr>
              <w:pStyle w:val="Normal"/>
              <w:jc w:val="center"/>
              <w:rPr/>
            </w:pPr>
            <w:r>
              <w:rPr/>
              <w:t>místostarosta</w:t>
            </w:r>
          </w:p>
        </w:tc>
        <w:tc>
          <w:tcPr>
            <w:tcW w:w="4499" w:type="dxa"/>
            <w:tcBorders/>
          </w:tcPr>
          <w:p>
            <w:pPr>
              <w:pStyle w:val="Normal"/>
              <w:jc w:val="center"/>
              <w:rPr/>
            </w:pPr>
            <w:r>
              <w:rPr/>
              <w:t>František David v. r.</w:t>
            </w:r>
          </w:p>
          <w:p>
            <w:pPr>
              <w:pStyle w:val="Normal"/>
              <w:jc w:val="center"/>
              <w:rPr/>
            </w:pPr>
            <w:r>
              <w:rPr/>
              <w:t>starosta</w:t>
            </w:r>
          </w:p>
        </w:tc>
      </w:tr>
    </w:tbl>
    <w:p>
      <w:pPr>
        <w:pStyle w:val="Normal"/>
        <w:rPr/>
      </w:pPr>
      <w:r>
        <w:rPr/>
      </w:r>
    </w:p>
    <w:sectPr>
      <w:footnotePr>
        <w:numFmt w:val="decimal"/>
      </w:footnotePr>
      <w:type w:val="nextPage"/>
      <w:pgSz w:w="11906" w:h="16838"/>
      <w:pgMar w:left="964" w:right="964" w:gutter="0" w:header="0" w:top="964" w:footer="0"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 w:name="Cambria">
    <w:charset w:val="ee"/>
    <w:family w:val="roman"/>
    <w:pitch w:val="variable"/>
  </w:font>
  <w:font w:name="Arial">
    <w:charset w:val="ee"/>
    <w:family w:val="swiss"/>
    <w:pitch w:val="variable"/>
  </w:font>
  <w:font w:name="Arial Unicode MS">
    <w:charset w:val="ee"/>
    <w:family w:val="roman"/>
    <w:pitch w:val="variable"/>
  </w:font>
  <w:font w:name="Tahoma">
    <w:charset w:val="ee"/>
    <w:family w:val="swiss"/>
    <w:pitch w:val="variable"/>
  </w:font>
  <w:font w:name="Calibri">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highlight w:val="green"/>
        </w:rPr>
      </w:pPr>
      <w:r>
        <w:rPr>
          <w:rStyle w:val="Znakypropoznmkupodarou"/>
        </w:rPr>
        <w:footnoteRef/>
      </w:r>
      <w:r>
        <w:rPr>
          <w:vertAlign w:val="superscript"/>
        </w:rPr>
        <w:t>)</w:t>
      </w:r>
      <w:r>
        <w:rPr/>
        <w:t xml:space="preserve"> § 15 odst. 1 zákona o místních poplatcích (</w:t>
      </w:r>
      <w:r>
        <w:rPr>
          <w:i/>
        </w:rPr>
        <w:t>Správcem poplatku je obecní úřad.</w:t>
      </w:r>
      <w:r>
        <w:rPr/>
        <w:t>)</w:t>
      </w:r>
    </w:p>
  </w:footnote>
  <w:footnote w:id="3">
    <w:p>
      <w:pPr>
        <w:pStyle w:val="Normal"/>
        <w:ind w:hanging="198" w:left="198"/>
        <w:rPr>
          <w:i/>
          <w:i/>
          <w:sz w:val="20"/>
          <w:szCs w:val="20"/>
        </w:rPr>
      </w:pPr>
      <w:r>
        <w:rPr>
          <w:rStyle w:val="Znakypropoznmkupodarou"/>
        </w:rPr>
        <w:footnoteRef/>
      </w:r>
      <w:r>
        <w:rPr>
          <w:sz w:val="20"/>
          <w:szCs w:val="20"/>
          <w:vertAlign w:val="superscript"/>
        </w:rPr>
        <w:t>)</w:t>
      </w:r>
      <w:r>
        <w:rPr>
          <w:sz w:val="20"/>
          <w:szCs w:val="20"/>
        </w:rPr>
        <w:t xml:space="preserve"> § 2 odst. 5 zákona o místních poplatcích (</w:t>
      </w:r>
      <w:r>
        <w:rPr>
          <w:i/>
          <w:sz w:val="20"/>
          <w:szCs w:val="20"/>
        </w:rPr>
        <w:t>Poplatkovým obdobím poplatku ze psů je kalendářní rok.)</w:t>
      </w:r>
    </w:p>
  </w:footnote>
  <w:footnote w:id="4">
    <w:p>
      <w:pPr>
        <w:pStyle w:val="FootnoteText"/>
        <w:ind w:hanging="198" w:left="198"/>
        <w:jc w:val="both"/>
        <w:rPr>
          <w:i/>
          <w:i/>
        </w:rPr>
      </w:pPr>
      <w:r>
        <w:rPr>
          <w:rStyle w:val="Znakypropoznmkupodarou"/>
        </w:rPr>
        <w:footnoteRef/>
      </w:r>
      <w:r>
        <w:rPr>
          <w:vertAlign w:val="superscript"/>
        </w:rPr>
        <w:t>)</w:t>
      </w:r>
      <w:r>
        <w:rPr/>
        <w:t xml:space="preserve"> § 11b odst. 1 zákona o místních poplatcích (</w:t>
      </w:r>
      <w:r>
        <w:rPr>
          <w:i/>
        </w:rPr>
        <w:t>Poplatkovým subjektem je pro účely tohoto zákona</w:t>
        <w:tab/>
      </w:r>
    </w:p>
    <w:p>
      <w:pPr>
        <w:pStyle w:val="FootnoteText"/>
        <w:numPr>
          <w:ilvl w:val="0"/>
          <w:numId w:val="5"/>
        </w:numPr>
        <w:ind w:hanging="357" w:left="551"/>
        <w:jc w:val="both"/>
        <w:rPr>
          <w:i/>
          <w:i/>
        </w:rPr>
      </w:pPr>
      <w:r>
        <w:rPr>
          <w:i/>
        </w:rPr>
        <w:t>poplatník poplatku, nebo</w:t>
      </w:r>
    </w:p>
    <w:p>
      <w:pPr>
        <w:pStyle w:val="FootnoteText"/>
        <w:numPr>
          <w:ilvl w:val="0"/>
          <w:numId w:val="5"/>
        </w:numPr>
        <w:ind w:hanging="357" w:left="550"/>
        <w:jc w:val="both"/>
        <w:rPr>
          <w:i/>
          <w:i/>
        </w:rPr>
      </w:pPr>
      <w:r>
        <w:rPr>
          <w:i/>
        </w:rPr>
        <w:t>plátce poplatku, pokud jde o poplatek odváděný plátcem poplatku.</w:t>
      </w:r>
      <w:r>
        <w:rPr/>
        <w:t>)</w:t>
      </w:r>
    </w:p>
  </w:footnote>
  <w:footnote w:id="5">
    <w:p>
      <w:pPr>
        <w:pStyle w:val="FootnoteText"/>
        <w:ind w:hanging="198" w:left="198"/>
        <w:jc w:val="both"/>
        <w:rPr/>
      </w:pPr>
      <w:r>
        <w:rPr>
          <w:rStyle w:val="Znakypropoznmkupodarou"/>
        </w:rPr>
        <w:footnoteRef/>
      </w:r>
      <w:r>
        <w:rPr>
          <w:vertAlign w:val="superscript"/>
        </w:rPr>
        <w:t>)</w:t>
      </w:r>
      <w:r>
        <w:rPr/>
        <w:t xml:space="preserve"> § 2 odst. 2 zákona o místních poplatcích (</w:t>
      </w:r>
      <w:r>
        <w:rPr>
          <w:i/>
        </w:rPr>
        <w:t>Poplatek ze psů se platí ze psů starších 3 měsíců.)</w:t>
      </w:r>
      <w:r>
        <w:rPr/>
        <w:t>; § 2 odst. 3 zákona o místních poplatcích (</w:t>
      </w:r>
      <w:r>
        <w:rPr>
          <w:i/>
        </w:rPr>
        <w:t>V případě trvání poplatkové povinnosti po dobu kratší než jeden rok se platí poplatek v poměrné výši, která odpovídá počtu i započatých kalendářních měsíců.</w:t>
      </w:r>
      <w:r>
        <w:rPr/>
        <w:t>); § 2 odst. 4 zákona o místních poplatcích (</w:t>
      </w:r>
      <w:r>
        <w:rPr>
          <w:i/>
        </w:rPr>
        <w:t>Při změně místa přihlášení nebo sídla platí držitel psa poplatek od počátku kalendářního měsíce následujícího po měsíci, ve kterém změna nastala, nově příslušné obci. Pro výpočet poměrné výše poplatku platí obdobně odstavec 3.</w:t>
      </w:r>
      <w:r>
        <w:rPr/>
        <w:t>)</w:t>
      </w:r>
    </w:p>
  </w:footnote>
  <w:footnote w:id="6">
    <w:p>
      <w:pPr>
        <w:pStyle w:val="FootnoteText"/>
        <w:ind w:hanging="198" w:left="198"/>
        <w:jc w:val="both"/>
        <w:rPr>
          <w:highlight w:val="green"/>
        </w:rPr>
      </w:pPr>
      <w:r>
        <w:rPr>
          <w:rStyle w:val="Znakypropoznmkupodarou"/>
        </w:rPr>
        <w:footnoteRef/>
      </w:r>
      <w:r>
        <w:rPr>
          <w:vertAlign w:val="superscript"/>
        </w:rPr>
        <w:t>)</w:t>
      </w:r>
      <w:r>
        <w:rPr/>
        <w:t xml:space="preserve"> § 2 odst. 1 zákona o místních poplatcích (</w:t>
      </w:r>
      <w:r>
        <w:rPr>
          <w:i/>
        </w:rPr>
        <w:t>Poplatek ze psů platí držitel psa. Tím může být pro účely tohoto poplatku osoba, která je přihlášena nebo má sídlo na území České republiky.</w:t>
      </w:r>
      <w:r>
        <w:rPr/>
        <w:t>); § 2 odst. 4 zákona o místních poplatcích (</w:t>
      </w:r>
      <w:r>
        <w:rPr>
          <w:i/>
        </w:rPr>
        <w:t>Poplatek ze psů platí držitel obci příslušné podle svého místa přihlášení nebo sídla.</w:t>
      </w:r>
      <w:r>
        <w:rPr/>
        <w:t>)</w:t>
      </w:r>
    </w:p>
  </w:footnote>
  <w:footnote w:id="7">
    <w:p>
      <w:pPr>
        <w:pStyle w:val="FootnoteText"/>
        <w:jc w:val="both"/>
        <w:rPr>
          <w:i/>
          <w:i/>
        </w:rPr>
      </w:pPr>
      <w:r>
        <w:rPr>
          <w:rStyle w:val="Znakypropoznmkupodarou"/>
        </w:rPr>
        <w:footnoteRef/>
      </w:r>
      <w:r>
        <w:rPr>
          <w:vertAlign w:val="superscript"/>
        </w:rPr>
        <w:t>)</w:t>
      </w:r>
      <w:r>
        <w:rPr/>
        <w:t xml:space="preserve"> § 14a odst. 2, 3 a 5 zákona o místních poplatcích: (</w:t>
      </w:r>
      <w:r>
        <w:rPr>
          <w:i/>
        </w:rPr>
        <w:t>2) V ohlášení poplatkový subjekt uvede</w:t>
      </w:r>
    </w:p>
    <w:p>
      <w:pPr>
        <w:pStyle w:val="FootnoteText"/>
        <w:tabs>
          <w:tab w:val="clear" w:pos="709"/>
          <w:tab w:val="left" w:pos="284" w:leader="none"/>
        </w:tabs>
        <w:ind w:left="284"/>
        <w:jc w:val="both"/>
        <w:rPr>
          <w:i/>
          <w:i/>
        </w:rPr>
      </w:pPr>
      <w:r>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pPr>
        <w:pStyle w:val="FootnoteText"/>
        <w:ind w:firstLine="1" w:left="284"/>
        <w:jc w:val="both"/>
        <w:rPr>
          <w:i/>
          <w:i/>
        </w:rPr>
      </w:pPr>
      <w:r>
        <w:rPr>
          <w:i/>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pPr>
        <w:pStyle w:val="FootnoteText"/>
        <w:ind w:left="284"/>
        <w:jc w:val="both"/>
        <w:rPr>
          <w:i/>
          <w:i/>
        </w:rPr>
      </w:pPr>
      <w:r>
        <w:rPr>
          <w:i/>
        </w:rPr>
        <w:t>c) údaje rozhodné pro stanovení poplatku (včetně např. důvodů osvobození, pokud existují již v okamžiku podání ohlášení).</w:t>
      </w:r>
    </w:p>
    <w:p>
      <w:pPr>
        <w:pStyle w:val="FootnoteText"/>
        <w:ind w:left="284"/>
        <w:jc w:val="both"/>
        <w:rPr>
          <w:i/>
          <w:i/>
        </w:rPr>
      </w:pPr>
      <w:r>
        <w:rPr>
          <w:i/>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pPr>
        <w:pStyle w:val="FootnoteText"/>
        <w:ind w:left="284"/>
        <w:jc w:val="both"/>
        <w:rPr/>
      </w:pPr>
      <w:r>
        <w:rPr>
          <w:i/>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t>)</w:t>
      </w:r>
    </w:p>
  </w:footnote>
  <w:footnote w:id="8">
    <w:p>
      <w:pPr>
        <w:pStyle w:val="FootnoteText"/>
        <w:jc w:val="both"/>
        <w:rPr/>
      </w:pPr>
      <w:r>
        <w:rPr>
          <w:rStyle w:val="Znakypropoznmkupodarou"/>
        </w:rPr>
        <w:footnoteRef/>
      </w:r>
      <w:r>
        <w:rPr>
          <w:vertAlign w:val="superscript"/>
        </w:rPr>
        <w:t>)</w:t>
      </w:r>
      <w:r>
        <w:rPr/>
        <w:t xml:space="preserve"> včetně zániku poplatkové povinnosti </w:t>
      </w:r>
    </w:p>
  </w:footnote>
  <w:footnote w:id="9">
    <w:p>
      <w:pPr>
        <w:pStyle w:val="FootnoteText"/>
        <w:ind w:hanging="198" w:left="198"/>
        <w:jc w:val="both"/>
        <w:rPr/>
      </w:pPr>
      <w:r>
        <w:rPr>
          <w:rStyle w:val="Znakypropoznmkupodarou"/>
        </w:rPr>
        <w:footnoteRef/>
      </w:r>
      <w:r>
        <w:rPr>
          <w:vertAlign w:val="superscript"/>
        </w:rPr>
        <w:t>)</w:t>
      </w:r>
      <w:r>
        <w:rPr/>
        <w:t xml:space="preserve"> § 14a odst. 4 zákona o místních poplatcích (</w:t>
      </w:r>
      <w:r>
        <w:rPr>
          <w:bCs/>
          <w:i/>
          <w:szCs w:val="24"/>
        </w:rPr>
        <w:t>Dojde-li ke změně údajů uvedených v ohlášení, je poplatkový subjekt povinen tuto změnu oznámit do 15 dnů ode dne, kdy nastala, nestanoví-li obec v obecně závazné vyhlášce delší lhůtu.</w:t>
      </w:r>
      <w:r>
        <w:rPr>
          <w:bCs/>
          <w:szCs w:val="24"/>
        </w:rPr>
        <w:t>)</w:t>
      </w:r>
    </w:p>
  </w:footnote>
  <w:footnote w:id="10">
    <w:p>
      <w:pPr>
        <w:pStyle w:val="Normal"/>
        <w:ind w:hanging="198" w:left="198"/>
        <w:jc w:val="both"/>
        <w:rPr>
          <w:sz w:val="20"/>
          <w:szCs w:val="20"/>
        </w:rPr>
      </w:pPr>
      <w:r>
        <w:rPr>
          <w:rStyle w:val="Znakypropoznmkupodarou"/>
        </w:rPr>
        <w:footnoteRef/>
      </w:r>
      <w:r>
        <w:rPr>
          <w:sz w:val="20"/>
          <w:szCs w:val="20"/>
          <w:vertAlign w:val="superscript"/>
        </w:rPr>
        <w:t>)</w:t>
      </w:r>
      <w:r>
        <w:rPr>
          <w:sz w:val="20"/>
          <w:szCs w:val="20"/>
        </w:rPr>
        <w:t xml:space="preserve"> § 14a odst. 6 zákona o místních poplatcích (</w:t>
      </w:r>
      <w:r>
        <w:rPr>
          <w:i/>
          <w:sz w:val="20"/>
          <w:szCs w:val="20"/>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Pr>
          <w:sz w:val="20"/>
          <w:szCs w:val="20"/>
        </w:rPr>
        <w:t>)</w:t>
      </w:r>
    </w:p>
  </w:footnote>
  <w:footnote w:id="11">
    <w:p>
      <w:pPr>
        <w:pStyle w:val="FootnoteText"/>
        <w:ind w:hanging="170" w:left="170"/>
        <w:jc w:val="both"/>
        <w:rPr/>
      </w:pPr>
      <w:r>
        <w:rPr>
          <w:rStyle w:val="Znakypropoznmkupodarou"/>
        </w:rPr>
        <w:footnoteRef/>
      </w:r>
      <w:r>
        <w:rPr>
          <w:vertAlign w:val="superscript"/>
        </w:rPr>
        <w:t>)</w:t>
      </w:r>
      <w:r>
        <w:rPr/>
        <w:t xml:space="preserve"> § 2 odst. 2 zákona o místních poplatcích (</w:t>
      </w:r>
      <w:r>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57"/>
        </w:tabs>
        <w:ind w:left="357" w:hanging="35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decimal"/>
      <w:lvlText w:val="%1)"/>
      <w:lvlJc w:val="left"/>
      <w:pPr>
        <w:tabs>
          <w:tab w:val="num" w:pos="357"/>
        </w:tabs>
        <w:ind w:left="357" w:hanging="357"/>
      </w:pPr>
      <w:rPr/>
    </w:lvl>
    <w:lvl w:ilvl="1">
      <w:start w:val="1"/>
      <w:numFmt w:val="lowerLetter"/>
      <w:lvlText w:val="%2)"/>
      <w:lvlJc w:val="left"/>
      <w:pPr>
        <w:tabs>
          <w:tab w:val="num" w:pos="1440"/>
        </w:tabs>
        <w:ind w:left="1440" w:hanging="360"/>
      </w:pPr>
      <w:rPr/>
    </w:lvl>
    <w:lvl w:ilvl="2">
      <w:start w:val="2"/>
      <w:numFmt w:val="lowerRoman"/>
      <w:lvlText w:val="%3)"/>
      <w:lvlJc w:val="left"/>
      <w:pPr>
        <w:tabs>
          <w:tab w:val="num" w:pos="0"/>
        </w:tabs>
        <w:ind w:left="2700" w:hanging="72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357"/>
        </w:tabs>
        <w:ind w:left="357" w:hanging="35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357"/>
        </w:tabs>
        <w:ind w:left="357" w:hanging="357"/>
      </w:pPr>
      <w:rPr>
        <w:dstrike w:val="false"/>
        <w:strike w:val="false"/>
        <w:rFonts w:ascii="Times New Roman" w:hAnsi="Times New Roman" w:eastAsia="Times New Roman"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61e02"/>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1">
    <w:name w:val="heading 1"/>
    <w:basedOn w:val="Normal"/>
    <w:next w:val="Normal"/>
    <w:link w:val="Nadpis1Char"/>
    <w:qFormat/>
    <w:rsid w:val="009958f0"/>
    <w:pPr>
      <w:keepNext w:val="true"/>
      <w:jc w:val="center"/>
      <w:outlineLvl w:val="0"/>
    </w:pPr>
    <w:rPr>
      <w:rFonts w:eastAsia="Arial Unicode MS"/>
      <w:b/>
      <w:bCs/>
    </w:rPr>
  </w:style>
  <w:style w:type="character" w:styleId="DefaultParagraphFont" w:default="1">
    <w:name w:val="Default Paragraph Font"/>
    <w:uiPriority w:val="1"/>
    <w:unhideWhenUsed/>
    <w:qFormat/>
    <w:rPr/>
  </w:style>
  <w:style w:type="character" w:styleId="ZkladntextodsazenChar" w:customStyle="1">
    <w:name w:val="Základní text odsazený Char"/>
    <w:semiHidden/>
    <w:qFormat/>
    <w:rsid w:val="00561e02"/>
    <w:rPr>
      <w:sz w:val="24"/>
      <w:szCs w:val="24"/>
      <w:lang w:val="cs-CZ" w:eastAsia="cs-CZ" w:bidi="ar-SA"/>
    </w:rPr>
  </w:style>
  <w:style w:type="character" w:styleId="TextpoznpodarouChar" w:customStyle="1">
    <w:name w:val="Text pozn. pod čarou Char"/>
    <w:qFormat/>
    <w:rsid w:val="00561e02"/>
    <w:rPr>
      <w:lang w:val="cs-CZ" w:eastAsia="cs-CZ" w:bidi="ar-SA"/>
    </w:rPr>
  </w:style>
  <w:style w:type="character" w:styleId="Znakypropoznmkupodarouuser">
    <w:name w:val="Znaky pro poznámku pod čarou (user)"/>
    <w:qFormat/>
    <w:rsid w:val="00561e02"/>
    <w:rPr>
      <w:vertAlign w:val="superscript"/>
    </w:rPr>
  </w:style>
  <w:style w:type="character" w:styleId="Znakypropoznmkupodarou">
    <w:name w:val="Znaky pro poznámku pod čarou"/>
    <w:qFormat/>
    <w:rPr>
      <w:vertAlign w:val="superscript"/>
    </w:rPr>
  </w:style>
  <w:style w:type="character" w:styleId="FootnoteReference">
    <w:name w:val="footnote reference"/>
    <w:rPr>
      <w:vertAlign w:val="superscript"/>
    </w:rPr>
  </w:style>
  <w:style w:type="character" w:styleId="Zkladntext3Char" w:customStyle="1">
    <w:name w:val="Základní text 3 Char"/>
    <w:link w:val="BodyText3"/>
    <w:semiHidden/>
    <w:qFormat/>
    <w:rsid w:val="00561e02"/>
    <w:rPr>
      <w:sz w:val="16"/>
      <w:szCs w:val="16"/>
      <w:lang w:val="cs-CZ" w:eastAsia="cs-CZ" w:bidi="ar-SA"/>
    </w:rPr>
  </w:style>
  <w:style w:type="character" w:styleId="ZkladntextChar" w:customStyle="1">
    <w:name w:val="Základní text Char"/>
    <w:semiHidden/>
    <w:qFormat/>
    <w:rsid w:val="00941400"/>
    <w:rPr>
      <w:sz w:val="24"/>
      <w:szCs w:val="24"/>
      <w:lang w:val="cs-CZ" w:eastAsia="cs-CZ" w:bidi="ar-SA"/>
    </w:rPr>
  </w:style>
  <w:style w:type="character" w:styleId="Nadpis1Char" w:customStyle="1">
    <w:name w:val="Nadpis 1 Char"/>
    <w:qFormat/>
    <w:rsid w:val="009958f0"/>
    <w:rPr>
      <w:rFonts w:eastAsia="Arial Unicode MS"/>
      <w:b/>
      <w:bCs/>
      <w:sz w:val="24"/>
      <w:szCs w:val="24"/>
    </w:rPr>
  </w:style>
  <w:style w:type="character" w:styleId="Zkladntextodsazen3Char" w:customStyle="1">
    <w:name w:val="Základní text odsazený 3 Char"/>
    <w:link w:val="BodyTextIndent3"/>
    <w:qFormat/>
    <w:rsid w:val="009958f0"/>
    <w:rPr>
      <w:sz w:val="16"/>
      <w:szCs w:val="16"/>
    </w:rPr>
  </w:style>
  <w:style w:type="character" w:styleId="Znakyprovysvtlivky">
    <w:name w:val="Znaky pro vysvětlivky"/>
    <w:qFormat/>
    <w:rPr>
      <w:vertAlign w:val="superscript"/>
    </w:rPr>
  </w:style>
  <w:style w:type="character" w:styleId="Znakyprovysvtlivkyuser">
    <w:name w:val="Znaky pro vysvětlivky (user)"/>
    <w:qFormat/>
    <w:rPr/>
  </w:style>
  <w:style w:type="character" w:styleId="EndnoteReference">
    <w:name w:val="endnote reference"/>
    <w:rPr>
      <w:vertAlign w:val="superscript"/>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ZkladntextChar"/>
    <w:rsid w:val="00941400"/>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cs="Lucida Sans"/>
    </w:rPr>
  </w:style>
  <w:style w:type="paragraph" w:styleId="BodyTextIndent">
    <w:name w:val="Body Text Indent"/>
    <w:basedOn w:val="Normal"/>
    <w:link w:val="ZkladntextodsazenChar"/>
    <w:rsid w:val="00561e02"/>
    <w:pPr>
      <w:ind w:firstLine="357" w:left="708"/>
      <w:jc w:val="both"/>
    </w:pPr>
    <w:rPr/>
  </w:style>
  <w:style w:type="paragraph" w:styleId="FootnoteText">
    <w:name w:val="footnote text"/>
    <w:basedOn w:val="Normal"/>
    <w:link w:val="TextpoznpodarouChar"/>
    <w:rsid w:val="00561e02"/>
    <w:pPr/>
    <w:rPr>
      <w:sz w:val="20"/>
      <w:szCs w:val="20"/>
    </w:rPr>
  </w:style>
  <w:style w:type="paragraph" w:styleId="BodyText3">
    <w:name w:val="Body Text 3"/>
    <w:basedOn w:val="Normal"/>
    <w:link w:val="Zkladntext3Char"/>
    <w:semiHidden/>
    <w:qFormat/>
    <w:rsid w:val="00561e02"/>
    <w:pPr>
      <w:spacing w:before="0" w:after="120"/>
    </w:pPr>
    <w:rPr>
      <w:sz w:val="16"/>
      <w:szCs w:val="16"/>
    </w:rPr>
  </w:style>
  <w:style w:type="paragraph" w:styleId="nzevzkona" w:customStyle="1">
    <w:name w:val="název zákona"/>
    <w:basedOn w:val="Title"/>
    <w:qFormat/>
    <w:rsid w:val="00561e02"/>
    <w:pPr/>
    <w:rPr>
      <w:rFonts w:ascii="Cambria" w:hAnsi="Cambria" w:cs="Cambria"/>
    </w:rPr>
  </w:style>
  <w:style w:type="paragraph" w:styleId="Title">
    <w:name w:val="Title"/>
    <w:basedOn w:val="Normal"/>
    <w:qFormat/>
    <w:rsid w:val="00561e02"/>
    <w:pPr>
      <w:spacing w:before="240" w:after="60"/>
      <w:jc w:val="center"/>
      <w:outlineLvl w:val="0"/>
    </w:pPr>
    <w:rPr>
      <w:rFonts w:ascii="Arial" w:hAnsi="Arial" w:cs="Arial"/>
      <w:b/>
      <w:bCs/>
      <w:kern w:val="2"/>
      <w:sz w:val="32"/>
      <w:szCs w:val="32"/>
    </w:rPr>
  </w:style>
  <w:style w:type="paragraph" w:styleId="NormalWeb">
    <w:name w:val="Normal (Web)"/>
    <w:basedOn w:val="Normal"/>
    <w:qFormat/>
    <w:rsid w:val="00561e02"/>
    <w:pPr>
      <w:spacing w:beforeAutospacing="1" w:afterAutospacing="1"/>
    </w:pPr>
    <w:rPr>
      <w:rFonts w:ascii="Arial Unicode MS" w:hAnsi="Arial Unicode MS" w:eastAsia="Arial Unicode MS" w:cs="Arial Unicode MS"/>
    </w:rPr>
  </w:style>
  <w:style w:type="paragraph" w:styleId="ZkladntextIMP" w:customStyle="1">
    <w:name w:val="Základní text_IMP"/>
    <w:basedOn w:val="Normal"/>
    <w:qFormat/>
    <w:rsid w:val="00941400"/>
    <w:pPr>
      <w:suppressAutoHyphens w:val="true"/>
      <w:overflowPunct w:val="false"/>
      <w:spacing w:lineRule="auto" w:line="276"/>
      <w:textAlignment w:val="baseline"/>
    </w:pPr>
    <w:rPr>
      <w:szCs w:val="20"/>
    </w:rPr>
  </w:style>
  <w:style w:type="paragraph" w:styleId="BalloonText">
    <w:name w:val="Balloon Text"/>
    <w:basedOn w:val="Normal"/>
    <w:semiHidden/>
    <w:qFormat/>
    <w:rsid w:val="00e0015c"/>
    <w:pPr/>
    <w:rPr>
      <w:rFonts w:ascii="Tahoma" w:hAnsi="Tahoma" w:cs="Tahoma"/>
      <w:sz w:val="16"/>
      <w:szCs w:val="16"/>
    </w:rPr>
  </w:style>
  <w:style w:type="paragraph" w:styleId="slalnk" w:customStyle="1">
    <w:name w:val="Čísla článků"/>
    <w:basedOn w:val="Normal"/>
    <w:qFormat/>
    <w:rsid w:val="00da00b1"/>
    <w:pPr>
      <w:keepNext w:val="true"/>
      <w:keepLines/>
      <w:spacing w:before="360" w:after="60"/>
      <w:jc w:val="center"/>
    </w:pPr>
    <w:rPr>
      <w:b/>
      <w:bCs/>
      <w:szCs w:val="20"/>
    </w:rPr>
  </w:style>
  <w:style w:type="paragraph" w:styleId="Nzvylnk" w:customStyle="1">
    <w:name w:val="Názvy článků"/>
    <w:basedOn w:val="slalnk"/>
    <w:qFormat/>
    <w:rsid w:val="00266882"/>
    <w:pPr>
      <w:spacing w:before="60" w:after="160"/>
    </w:pPr>
    <w:rPr/>
  </w:style>
  <w:style w:type="paragraph" w:styleId="Normln1" w:customStyle="1">
    <w:name w:val="Normální1"/>
    <w:basedOn w:val="Normal"/>
    <w:qFormat/>
    <w:rsid w:val="00807a6e"/>
    <w:pPr/>
    <w:rPr/>
  </w:style>
  <w:style w:type="paragraph" w:styleId="Normln2" w:customStyle="1">
    <w:name w:val="Normální2"/>
    <w:qFormat/>
    <w:rsid w:val="009958f0"/>
    <w:pPr>
      <w:widowControl w:val="false"/>
      <w:suppressAutoHyphens w:val="true"/>
      <w:bidi w:val="0"/>
      <w:spacing w:before="0" w:after="0"/>
      <w:jc w:val="left"/>
    </w:pPr>
    <w:rPr>
      <w:rFonts w:ascii="Times New Roman" w:hAnsi="Times New Roman" w:eastAsia="Times New Roman" w:cs="Times New Roman"/>
      <w:color w:val="auto"/>
      <w:kern w:val="0"/>
      <w:sz w:val="24"/>
      <w:szCs w:val="20"/>
      <w:lang w:val="cs-CZ" w:eastAsia="cs-CZ" w:bidi="ar-SA"/>
    </w:rPr>
  </w:style>
  <w:style w:type="paragraph" w:styleId="BodyTextIndent3">
    <w:name w:val="Body Text Indent 3"/>
    <w:basedOn w:val="Normal"/>
    <w:link w:val="Zkladntextodsazen3Char"/>
    <w:qFormat/>
    <w:rsid w:val="009958f0"/>
    <w:pPr>
      <w:spacing w:before="0" w:after="120"/>
      <w:ind w:left="283"/>
    </w:pPr>
    <w:rPr>
      <w:sz w:val="16"/>
      <w:szCs w:val="16"/>
    </w:rPr>
  </w:style>
  <w:style w:type="paragraph" w:styleId="NoSpacing">
    <w:name w:val="No Spacing"/>
    <w:uiPriority w:val="1"/>
    <w:qFormat/>
    <w:rsid w:val="00cc5e9c"/>
    <w:pPr>
      <w:widowControl/>
      <w:suppressAutoHyphens w:val="true"/>
      <w:bidi w:val="0"/>
      <w:spacing w:before="0" w:after="0"/>
      <w:jc w:val="left"/>
    </w:pPr>
    <w:rPr>
      <w:rFonts w:ascii="Calibri" w:hAnsi="Calibri" w:eastAsia="Calibri" w:cs="Times New Roman"/>
      <w:color w:val="auto"/>
      <w:kern w:val="0"/>
      <w:sz w:val="22"/>
      <w:szCs w:val="22"/>
      <w:lang w:val="cs-CZ" w:eastAsia="en-US" w:bidi="ar-SA"/>
    </w:rPr>
  </w:style>
  <w:style w:type="numbering" w:styleId="Bezseznamuuser" w:default="1">
    <w:name w:val="Bez seznamu (user)"/>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LibreOffice/25.2.4.3$Windows_X86_64 LibreOffice_project/33e196637044ead23f5c3226cde09b47731f7e27</Application>
  <AppVersion>15.0000</AppVersion>
  <Pages>2</Pages>
  <Words>921</Words>
  <Characters>5086</Characters>
  <CharactersWithSpaces>5951</CharactersWithSpaces>
  <Paragraphs>68</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2023-09-29T08:12:00Z</dcterms:created>
  <dc:creator>Mgr. Martin Pech</dc:creator>
  <dc:description/>
  <dc:language>cs-CZ</dc:language>
  <cp:lastModifiedBy/>
  <cp:lastPrinted>2019-10-16T11:57:00Z</cp:lastPrinted>
  <dcterms:modified xsi:type="dcterms:W3CDTF">2025-10-09T09:47:18Z</dcterms:modified>
  <cp:revision>13</cp:revision>
  <dc:subject/>
  <dc:title>ODK9</dc:title>
</cp:coreProperties>
</file>

<file path=docProps/custom.xml><?xml version="1.0" encoding="utf-8"?>
<Properties xmlns="http://schemas.openxmlformats.org/officeDocument/2006/custom-properties" xmlns:vt="http://schemas.openxmlformats.org/officeDocument/2006/docPropsVTypes"/>
</file>