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  <w:bookmarkStart w:id="0" w:name="_Hlk216691355"/>
      <w:bookmarkStart w:id="1" w:name="_Hlk216691355"/>
      <w:bookmarkEnd w:id="1"/>
    </w:p>
    <w:p>
      <w:pPr>
        <w:pStyle w:val="Nzev"/>
        <w:rPr>
          <w:rFonts w:cs="Arial"/>
        </w:rPr>
      </w:pPr>
      <w:r>
        <w:rPr>
          <w:rFonts w:cs="Arial"/>
        </w:rPr>
        <w:t>OBEC TÝNIŠŤKO</w:t>
        <w:br/>
        <w:t>Zastupitelstvo obce Týnišťko</w:t>
      </w:r>
    </w:p>
    <w:p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Obecně závazná vyhláška obce Týnišťko,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Týnišťko na svém zasedání dne </w:t>
      </w:r>
      <w:r>
        <w:rPr>
          <w:rFonts w:cs="Arial" w:ascii="Arial" w:hAnsi="Arial"/>
          <w:sz w:val="22"/>
          <w:szCs w:val="22"/>
        </w:rPr>
        <w:t>27.4.20</w:t>
      </w:r>
      <w:r>
        <w:rPr>
          <w:rFonts w:cs="Arial" w:ascii="Arial" w:hAnsi="Arial"/>
          <w:sz w:val="22"/>
          <w:szCs w:val="22"/>
        </w:rPr>
        <w:t>26 usneslo vydat na základě § 59 odst. 4 zákona č. 541/2020 Sb., o odpadech, ve znění pozdějších předpisů (dále jen „zákon o odpadech“), a v souladu s § 10 písm. d) a § 84 odst. 2 písm. h) zákona č. 128/2000 Sb., o 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Týnišťko.</w:t>
      </w:r>
    </w:p>
    <w:p>
      <w:pPr>
        <w:pStyle w:val="Normal"/>
        <w:tabs>
          <w:tab w:val="clear" w:pos="708"/>
          <w:tab w:val="left" w:pos="284" w:leader="none"/>
        </w:tabs>
        <w:ind w:left="284" w:hang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městem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284" w:leader="none"/>
        </w:tabs>
        <w:ind w:left="284" w:hang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město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284" w:leader="none"/>
        </w:tabs>
        <w:ind w:left="284" w:hang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městem jsou povinny odděleně soustřeďovat následující složky: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Papír,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Plasty včetně PET lahví (dále jen „plasty“),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Sklo,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Kovy,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Jedlé oleje a tuky,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Textil,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cs="Arial" w:ascii="Arial" w:hAnsi="Arial"/>
          <w:bCs/>
          <w:iCs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Směsný komunální odpad.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 až h).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ind w:left="284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  <w:tab w:val="left" w:pos="927" w:leader="none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 jedlé oleje a tuky a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sběrné nádoby.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  <w:tab w:val="left" w:pos="927" w:leader="none"/>
        </w:tabs>
        <w:ind w:left="284" w:hanging="426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Zvláštní sběrné nádoby na Papír, plasty, sklo, kovy jedlé oleje a tuky a textil jsou umístěny na stanovišti u bývalé prodejny potravin, č.p. 34.</w:t>
      </w:r>
    </w:p>
    <w:p>
      <w:pPr>
        <w:pStyle w:val="ListParagraph"/>
        <w:ind w:left="64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6"/>
        </w:numPr>
        <w:ind w:left="284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Zvláštní sběrné nádoby jsou barevně odlišeny a případně označeny příslušnými nápisy: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FF0000"/>
        </w:rPr>
      </w:pPr>
      <w:r>
        <w:rPr>
          <w:rFonts w:cs="Arial" w:ascii="Arial" w:hAnsi="Arial"/>
          <w:bCs/>
          <w:iCs/>
          <w:color w:val="000000"/>
        </w:rPr>
        <w:t>Papír, sběrná nádoba barva modrá,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FF0000"/>
        </w:rPr>
      </w:pPr>
      <w:r>
        <w:rPr>
          <w:rFonts w:cs="Arial" w:ascii="Arial" w:hAnsi="Arial"/>
          <w:bCs/>
          <w:iCs/>
          <w:color w:val="000000"/>
        </w:rPr>
        <w:t>Plasty, sběrná nádoba barva žlutá,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Sklo, sběrná nádoba barva zelená,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 xml:space="preserve">Kovy, sběrná nádoba barva </w:t>
      </w:r>
      <w:r>
        <w:rPr>
          <w:rFonts w:cs="Arial" w:ascii="Arial" w:hAnsi="Arial"/>
          <w:bCs/>
          <w:iCs/>
          <w:color w:val="000000"/>
          <w:shd w:fill="auto" w:val="clear"/>
        </w:rPr>
        <w:t>stříbrná nebo označená nápisem kovy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Jedlé oleje a tuky, sběrná nádoba barva černá</w:t>
      </w:r>
      <w:r>
        <w:rPr>
          <w:rStyle w:val="Ukotvenpoznmkypodarou"/>
          <w:rFonts w:cs="Arial" w:ascii="Arial" w:hAnsi="Arial"/>
          <w:bCs/>
          <w:iCs/>
          <w:color w:val="000000"/>
        </w:rPr>
        <w:footnoteReference w:id="4"/>
      </w:r>
      <w:r>
        <w:rPr>
          <w:rFonts w:cs="Arial" w:ascii="Arial" w:hAnsi="Arial"/>
          <w:bCs/>
          <w:iCs/>
          <w:color w:val="000000"/>
        </w:rPr>
        <w:t>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Cs/>
          <w:color w:val="000000"/>
        </w:rPr>
      </w:pPr>
      <w:r>
        <w:rPr>
          <w:rFonts w:cs="Arial" w:ascii="Arial" w:hAnsi="Arial"/>
          <w:bCs/>
          <w:iCs/>
          <w:color w:val="000000"/>
        </w:rPr>
        <w:t>Textil, sběrná nádoba barva bílá.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Normal"/>
        <w:rPr>
          <w:rFonts w:ascii="Arial" w:hAnsi="Arial" w:cs="Arial"/>
          <w:color w:val="00B050"/>
        </w:rPr>
      </w:pPr>
      <w:r>
        <w:rPr>
          <w:rFonts w:cs="Arial" w:ascii="Arial" w:hAnsi="Arial"/>
          <w:color w:val="00B050"/>
        </w:rPr>
      </w:r>
    </w:p>
    <w:p>
      <w:pPr>
        <w:pStyle w:val="Normal"/>
        <w:numPr>
          <w:ilvl w:val="0"/>
          <w:numId w:val="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Jedlé oleje a tuky lze v uzavřených plastových lahvích označených příslušným nápisem odkládat na víko sběrné nádoby na směsný komunální odpad v den svozu směsného komunálního odpadu.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  <w:tab w:val="left" w:pos="927" w:leader="none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Nebezpečné složky komunálního odpadu lze soustřeďovat prostřednictvím svozu. Svoz nebezpečných složek komunálního odpadu</w:t>
      </w:r>
      <w:r>
        <w:rPr>
          <w:rFonts w:cs="Arial" w:ascii="Arial" w:hAnsi="Arial"/>
          <w:position w:val="8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je zajišťován minimálně dvakrát ročně svozovou společností jejich odebíráním na předem vyhlášených přechodných stanovištích přímo do zvláštních sběrných nádob k tomuto sběru určených. Informace o sběru jsou </w:t>
      </w:r>
      <w:r>
        <w:rPr>
          <w:rFonts w:cs="Arial" w:ascii="Arial" w:hAnsi="Arial"/>
          <w:sz w:val="22"/>
          <w:szCs w:val="22"/>
          <w:shd w:fill="auto" w:val="clear"/>
        </w:rPr>
        <w:t xml:space="preserve">zveřejňovány na webových stránkách obce </w:t>
      </w:r>
      <w:hyperlink r:id="rId2">
        <w:r>
          <w:rPr>
            <w:rStyle w:val="Internetovodkaz"/>
            <w:rFonts w:cs="Arial" w:ascii="Arial" w:hAnsi="Arial"/>
            <w:sz w:val="22"/>
            <w:szCs w:val="22"/>
            <w:shd w:fill="auto" w:val="clear"/>
          </w:rPr>
          <w:t>www.tynistko.cz</w:t>
        </w:r>
      </w:hyperlink>
      <w:r>
        <w:rPr>
          <w:rFonts w:cs="Arial" w:ascii="Arial" w:hAnsi="Arial"/>
          <w:sz w:val="22"/>
          <w:szCs w:val="22"/>
          <w:shd w:fill="auto" w:val="clear"/>
        </w:rPr>
        <w:t xml:space="preserve">, kde jsou informace o místu a typu sběru. </w:t>
      </w:r>
    </w:p>
    <w:p>
      <w:pPr>
        <w:pStyle w:val="Normal"/>
        <w:rPr>
          <w:rFonts w:ascii="Arial" w:hAnsi="Arial" w:cs="Arial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  <w:tab w:val="left" w:pos="927" w:leader="none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lze soustřeďovat prostřednictvím svozu. Svoz objemného odpadu je zajišťován minimálně jednou ročně svozovou společností jejich odebíráním na předem vyhlášených přechodných stanovištích přímo do zvláštních sběrných nádob k tomuto sběru určených. Informace o sběru jsou zveřejňovány na webových stránkách obce </w:t>
      </w:r>
      <w:hyperlink r:id="rId3">
        <w:r>
          <w:rPr>
            <w:rStyle w:val="Internetovodkaz"/>
            <w:rFonts w:cs="Arial" w:ascii="Arial" w:hAnsi="Arial"/>
            <w:sz w:val="22"/>
            <w:szCs w:val="22"/>
          </w:rPr>
          <w:t>www.tynistko.cz</w:t>
        </w:r>
      </w:hyperlink>
      <w:r>
        <w:rPr>
          <w:rFonts w:cs="Arial" w:ascii="Arial" w:hAnsi="Arial"/>
          <w:sz w:val="22"/>
          <w:szCs w:val="22"/>
        </w:rPr>
        <w:t xml:space="preserve">, kde jsou informace o místu a typu sběru.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(1) Směsný komunální odpad se odkládá do sběrných nádob. Pro účely této vyhlášky se sběrnými nádobami rozumějí: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>typizované sběrné nádoby – 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>
      <w:pPr>
        <w:pStyle w:val="Normal"/>
        <w:ind w:left="360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numPr>
          <w:ilvl w:val="0"/>
          <w:numId w:val="8"/>
        </w:numPr>
        <w:ind w:left="284" w:hanging="426"/>
        <w:jc w:val="both"/>
        <w:rPr>
          <w:rFonts w:ascii="Arial" w:hAnsi="Arial" w:cs="Arial"/>
          <w:color w:val="00B0F0"/>
        </w:rPr>
      </w:pPr>
      <w:r>
        <w:rPr>
          <w:rFonts w:cs="Arial" w:ascii="Arial" w:hAnsi="Arial"/>
        </w:rPr>
        <w:t xml:space="preserve">Soustřeďování směsného komunálního odpadu podléhá požadavkům stanoveným </w:t>
        <w:br/>
        <w:t>v čl. 3 odst. 4 a 5.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ormal"/>
        <w:jc w:val="both"/>
        <w:rPr>
          <w:rFonts w:ascii="Arial" w:hAnsi="Arial" w:cs="Arial"/>
          <w:i/>
          <w:i/>
          <w:color w:val="00B0F0"/>
          <w:sz w:val="22"/>
        </w:rPr>
      </w:pPr>
      <w:r>
        <w:rPr>
          <w:rFonts w:cs="Arial" w:ascii="Arial" w:hAnsi="Arial"/>
          <w:i/>
          <w:color w:val="00B0F0"/>
          <w:sz w:val="22"/>
        </w:rPr>
      </w:r>
    </w:p>
    <w:p>
      <w:pPr>
        <w:pStyle w:val="ListParagraph"/>
        <w:numPr>
          <w:ilvl w:val="0"/>
          <w:numId w:val="10"/>
        </w:numPr>
        <w:ind w:left="284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Komunitním kompostováním je systém soustřeďování rostlinných zbytků z údržby zeleně, zahrad a domácností z území obce, jejich úprava a následné zpracování v komunitní kompostárně na kompost</w:t>
      </w:r>
      <w:r>
        <w:rPr>
          <w:rStyle w:val="Ukotvenpoznmkypodarou"/>
          <w:rFonts w:cs="Arial" w:ascii="Arial" w:hAnsi="Arial"/>
        </w:rPr>
        <w:footnoteReference w:id="5"/>
      </w:r>
      <w:r>
        <w:rPr>
          <w:rFonts w:cs="Arial" w:ascii="Arial" w:hAnsi="Arial"/>
        </w:rPr>
        <w:t>.</w:t>
      </w:r>
    </w:p>
    <w:p>
      <w:pPr>
        <w:pStyle w:val="ListParagraph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0"/>
        </w:numPr>
        <w:ind w:left="284" w:hanging="426"/>
        <w:jc w:val="both"/>
        <w:rPr>
          <w:rFonts w:ascii="Arial" w:hAnsi="Arial" w:cs="Arial"/>
        </w:rPr>
      </w:pPr>
      <w:r>
        <w:rPr>
          <w:rFonts w:cs="Arial" w:ascii="Arial" w:hAnsi="Arial"/>
        </w:rPr>
        <w:t>Rostlinné zbytky z údržby zeleně, zahrad a domácností ovoce a zelenina ze zahrad a kuchyní, drny se zeminou, rostliny a jejich zbytky neznečištěné chemickými látkami, které budou využity v rámci komunitního kompostování, lze předávat v komunitní kompostárně, která se nachází na pozemku parc. č. 159/1 a na pozemku parc. č. 160, v katastrálním území Týnišťko</w:t>
      </w:r>
      <w:r>
        <w:rPr>
          <w:rStyle w:val="Ukotvenpoznmkypodarou"/>
          <w:rFonts w:cs="Arial" w:ascii="Arial" w:hAnsi="Arial"/>
        </w:rPr>
        <w:footnoteReference w:id="6"/>
      </w:r>
      <w:r>
        <w:rPr>
          <w:rFonts w:cs="Arial" w:ascii="Arial" w:hAnsi="Arial"/>
        </w:rPr>
        <w:t>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Informace o nakládání se stavebním odpadem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</w:r>
    </w:p>
    <w:p>
      <w:pPr>
        <w:pStyle w:val="Tlotextu"/>
        <w:numPr>
          <w:ilvl w:val="0"/>
          <w:numId w:val="13"/>
        </w:numPr>
        <w:tabs>
          <w:tab w:val="clear" w:pos="708"/>
          <w:tab w:val="left" w:pos="284" w:leader="none"/>
          <w:tab w:val="left" w:pos="1440" w:leader="none"/>
          <w:tab w:val="left" w:pos="7020" w:leader="none"/>
        </w:tabs>
        <w:spacing w:lineRule="auto" w:line="288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Stavebním odpadem se rozumí stavební a demoliční odpad. Stavební odpad není odpadem komunálním.</w:t>
      </w:r>
    </w:p>
    <w:p>
      <w:pPr>
        <w:pStyle w:val="Tlotextu"/>
        <w:numPr>
          <w:ilvl w:val="0"/>
          <w:numId w:val="14"/>
        </w:numPr>
        <w:tabs>
          <w:tab w:val="clear" w:pos="708"/>
          <w:tab w:val="left" w:pos="1440" w:leader="none"/>
          <w:tab w:val="left" w:pos="7020" w:leader="none"/>
        </w:tabs>
        <w:spacing w:lineRule="auto" w:line="288"/>
        <w:ind w:left="360" w:hanging="502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Stavební odpad lze použít, předat či odstranit pouze zákonem stanoveným způsobem</w:t>
      </w:r>
      <w:r>
        <w:rPr>
          <w:rStyle w:val="Ukotvenpoznmkypodarou"/>
          <w:rFonts w:cs="Arial" w:ascii="Arial" w:hAnsi="Arial"/>
          <w:bCs/>
          <w:sz w:val="22"/>
          <w:szCs w:val="22"/>
        </w:rPr>
        <w:footnoteReference w:id="7"/>
      </w:r>
      <w:r>
        <w:rPr>
          <w:rFonts w:cs="Arial" w:ascii="Arial" w:hAnsi="Arial"/>
          <w:bCs/>
          <w:sz w:val="22"/>
          <w:szCs w:val="22"/>
        </w:rPr>
        <w:t>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Závěrečná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eznamoslovan"/>
        <w:numPr>
          <w:ilvl w:val="0"/>
          <w:numId w:val="9"/>
        </w:numPr>
        <w:ind w:left="284" w:hanging="42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 Týnišťko, č. 1/2025, kterou se stanoví systém komunitního kompostování a způsob využití zeleného kompostu k údržbě a obnově veřejné zeleně na území obce, ze dne 8. prosince 2025.</w:t>
      </w:r>
    </w:p>
    <w:p>
      <w:pPr>
        <w:pStyle w:val="Seznamoslovan"/>
        <w:spacing w:before="0" w:after="0"/>
        <w:ind w:left="361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Seznamoslovan"/>
        <w:numPr>
          <w:ilvl w:val="0"/>
          <w:numId w:val="9"/>
        </w:numPr>
        <w:spacing w:before="0" w:after="0"/>
        <w:ind w:left="361" w:hanging="503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18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Stanislav Kopecký v. r.</w:t>
              <w:br/>
              <w:t xml:space="preserve"> starosta</w:t>
            </w:r>
          </w:p>
        </w:tc>
        <w:tc>
          <w:tcPr>
            <w:tcW w:w="4818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Jiří Hájek v. r.</w:t>
              <w:br/>
              <w:t xml:space="preserve"> místostarosta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8" w:right="1274" w:gutter="0" w:header="0" w:top="993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Jedlé oleje a tuky se odevzdávají v uzavřené plastové nádobě (PET láhev, kanystr, apod.).</w:t>
      </w:r>
    </w:p>
  </w:footnote>
  <w:footnote w:id="5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65 zákona o odpadech</w:t>
      </w:r>
    </w:p>
  </w:footnote>
  <w:footnote w:id="6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Informace k provozu komunitní kompos</w:t>
      </w:r>
      <w:r>
        <w:rPr>
          <w:rFonts w:cs="Arial" w:ascii="Arial" w:hAnsi="Arial"/>
        </w:rPr>
        <w:t>t</w:t>
      </w:r>
      <w:r>
        <w:rPr>
          <w:rFonts w:cs="Arial" w:ascii="Arial" w:hAnsi="Arial"/>
        </w:rPr>
        <w:t>ár</w:t>
      </w:r>
      <w:r>
        <w:rPr>
          <w:rFonts w:cs="Arial" w:ascii="Arial" w:hAnsi="Arial"/>
        </w:rPr>
        <w:t>n</w:t>
      </w:r>
      <w:r>
        <w:rPr>
          <w:rFonts w:cs="Arial" w:ascii="Arial" w:hAnsi="Arial"/>
        </w:rPr>
        <w:t>y jsou zveřejněny na webových stránkách obce a na úřední desce.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Stavební a demoliční odpad je např. možné odevzdat ve Sběrném dvoře ve Vysokém Mýtě, a to za poplatek.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">
    <w:lvl w:ilvl="0">
      <w:start w:val="2"/>
      <w:numFmt w:val="decimal"/>
      <w:lvlText w:val="(%1)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36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1"/>
    <w:lvlOverride w:ilvl="0">
      <w:startOverride w:val="1"/>
    </w:lvlOverride>
  </w:num>
  <w:num w:numId="14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0e5fa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2">
    <w:name w:val="Heading 2"/>
    <w:basedOn w:val="Normal"/>
    <w:next w:val="Normal"/>
    <w:link w:val="Nadpis2Char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TextpoznpodarouChar" w:customStyle="1">
    <w:name w:val="Text pozn. pod čarou Char"/>
    <w:basedOn w:val="DefaultParagraphFont"/>
    <w:semiHidden/>
    <w:qFormat/>
    <w:rsid w:val="008a7efd"/>
    <w:rPr/>
  </w:style>
  <w:style w:type="character" w:styleId="NzevChar" w:customStyle="1">
    <w:name w:val="Název Char"/>
    <w:basedOn w:val="DefaultParagraphFont"/>
    <w:uiPriority w:val="10"/>
    <w:qFormat/>
    <w:rsid w:val="00823465"/>
    <w:rPr>
      <w:rFonts w:ascii="Arial" w:hAnsi="Arial" w:eastAsia="PingFang SC" w:cs="Arial Unicode MS"/>
      <w:b/>
      <w:bCs/>
      <w:kern w:val="2"/>
      <w:sz w:val="24"/>
      <w:szCs w:val="24"/>
      <w:lang w:eastAsia="zh-CN" w:bidi="hi-IN"/>
    </w:rPr>
  </w:style>
  <w:style w:type="character" w:styleId="ZkladntextChar" w:customStyle="1">
    <w:name w:val="Základní text Char"/>
    <w:basedOn w:val="DefaultParagraphFont"/>
    <w:qFormat/>
    <w:rsid w:val="002b337b"/>
    <w:rPr>
      <w:sz w:val="24"/>
    </w:rPr>
  </w:style>
  <w:style w:type="character" w:styleId="Nadpis2Char" w:customStyle="1">
    <w:name w:val="Nadpis 2 Char"/>
    <w:basedOn w:val="DefaultParagraphFont"/>
    <w:qFormat/>
    <w:rsid w:val="0028026f"/>
    <w:rPr>
      <w:sz w:val="24"/>
      <w:u w:val="single"/>
    </w:rPr>
  </w:style>
  <w:style w:type="character" w:styleId="ZhlavChar" w:customStyle="1">
    <w:name w:val="Záhlaví Char"/>
    <w:basedOn w:val="DefaultParagraphFont"/>
    <w:qFormat/>
    <w:rsid w:val="00545bec"/>
    <w:rPr>
      <w:sz w:val="24"/>
    </w:rPr>
  </w:style>
  <w:style w:type="character" w:styleId="Nadpis1Char" w:customStyle="1">
    <w:name w:val="Nadpis 1 Char"/>
    <w:basedOn w:val="DefaultParagraphFont"/>
    <w:uiPriority w:val="9"/>
    <w:qFormat/>
    <w:rsid w:val="000e5fa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9a56fe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rsid w:val="009a56fe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ev">
    <w:name w:val="Title"/>
    <w:basedOn w:val="Normal"/>
    <w:next w:val="Normal"/>
    <w:link w:val="NzevChar"/>
    <w:uiPriority w:val="10"/>
    <w:qFormat/>
    <w:rsid w:val="00823465"/>
    <w:pPr>
      <w:keepNext w:val="true"/>
      <w:suppressAutoHyphens w:val="true"/>
      <w:spacing w:before="240" w:after="120"/>
      <w:jc w:val="center"/>
      <w:textAlignment w:val="baseline"/>
    </w:pPr>
    <w:rPr>
      <w:rFonts w:ascii="Arial" w:hAnsi="Arial" w:eastAsia="PingFang SC" w:cs="Arial Unicode MS"/>
      <w:b/>
      <w:bCs/>
      <w:kern w:val="2"/>
      <w:lang w:eastAsia="zh-CN" w:bidi="hi-IN"/>
    </w:rPr>
  </w:style>
  <w:style w:type="paragraph" w:styleId="NoSpacing">
    <w:name w:val="No Spacing"/>
    <w:uiPriority w:val="1"/>
    <w:qFormat/>
    <w:rsid w:val="0082346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PodpisovePole" w:customStyle="1">
    <w:name w:val="PodpisovePole"/>
    <w:basedOn w:val="Normal"/>
    <w:qFormat/>
    <w:rsid w:val="00823465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  <w:style w:type="paragraph" w:styleId="Seznamoslovan" w:customStyle="1">
    <w:name w:val="Seznam očíslovaný"/>
    <w:basedOn w:val="Tlotextu"/>
    <w:qFormat/>
    <w:rsid w:val="000e5fa4"/>
    <w:pPr>
      <w:widowControl w:val="false"/>
      <w:spacing w:before="0" w:after="113"/>
      <w:ind w:left="425" w:hanging="424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ynistko.cz/" TargetMode="External"/><Relationship Id="rId3" Type="http://schemas.openxmlformats.org/officeDocument/2006/relationships/hyperlink" Target="http://www.tynistko.cz/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Application>LibreOffice/7.5.2.2$Windows_X86_64 LibreOffice_project/53bb9681a964705cf672590721dbc85eb4d0c3a2</Application>
  <AppVersion>15.0000</AppVersion>
  <Pages>3</Pages>
  <Words>897</Words>
  <Characters>5091</Characters>
  <CharactersWithSpaces>5899</CharactersWithSpaces>
  <Paragraphs>67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2025-06-05T12:09:00Z</dcterms:created>
  <dc:creator>DA210036</dc:creator>
  <dc:description/>
  <dc:language>cs-CZ</dc:language>
  <cp:lastModifiedBy/>
  <cp:lastPrinted>2021-11-09T09:23:00Z</cp:lastPrinted>
  <dcterms:modified xsi:type="dcterms:W3CDTF">2026-05-03T10:42:39Z</dcterms:modified>
  <cp:revision>67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