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CC9D" w14:textId="40FC73A4" w:rsidR="001D3AA5" w:rsidRDefault="00E1682F" w:rsidP="002879E0">
      <w:pPr>
        <w:pStyle w:val="Nzev"/>
      </w:pPr>
      <w:r>
        <w:t>Obecně závazná vyhláška</w:t>
      </w:r>
    </w:p>
    <w:p w14:paraId="5C175F0D" w14:textId="27374C1F" w:rsidR="00561BD8" w:rsidRPr="00561BD8" w:rsidRDefault="00ED4A9F" w:rsidP="00561BD8">
      <w:pPr>
        <w:pStyle w:val="Podnadpis"/>
      </w:pPr>
      <w:r>
        <w:t>o místním poplatku za užívání veřejného prostranství</w:t>
      </w:r>
    </w:p>
    <w:p w14:paraId="4DB92B3D" w14:textId="6B77AEE1" w:rsidR="00E1682F" w:rsidRPr="00E1682F" w:rsidRDefault="00E1682F" w:rsidP="00E1682F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</w:t>
      </w:r>
      <w:r w:rsidRPr="00F602AE">
        <w:rPr>
          <w:rFonts w:cstheme="minorHAnsi"/>
          <w:szCs w:val="20"/>
        </w:rPr>
        <w:t>dne 8. listopadu 2023</w:t>
      </w:r>
      <w:r w:rsidRPr="007518C1">
        <w:rPr>
          <w:rFonts w:cstheme="minorHAnsi"/>
          <w:color w:val="FF0000"/>
          <w:szCs w:val="20"/>
        </w:rPr>
        <w:t xml:space="preserve"> </w:t>
      </w:r>
      <w:r w:rsidRPr="0059058A">
        <w:rPr>
          <w:rFonts w:cstheme="minorHAnsi"/>
          <w:szCs w:val="20"/>
        </w:rPr>
        <w:t>usneslo vydat na základě § 14 zákona č. 565/1990 Sb., o místních poplatcích, ve znění pozdějších předpisů</w:t>
      </w:r>
      <w:r>
        <w:rPr>
          <w:rFonts w:cstheme="minorHAnsi"/>
          <w:szCs w:val="20"/>
        </w:rPr>
        <w:t>,</w:t>
      </w:r>
      <w:r w:rsidRPr="0059058A">
        <w:rPr>
          <w:rFonts w:cstheme="minorHAnsi"/>
          <w:szCs w:val="20"/>
        </w:rPr>
        <w:t xml:space="preserve"> (dále jen „zákon o místních poplatcích</w:t>
      </w:r>
      <w:r w:rsidRPr="00605B54">
        <w:rPr>
          <w:rFonts w:cstheme="minorHAnsi"/>
          <w:szCs w:val="20"/>
        </w:rPr>
        <w:t>“), a v souladu s § 10 písm. d) a § 84 odst. 2 písm. h) zákona č. 128/2000 Sb.,</w:t>
      </w:r>
      <w:r w:rsidR="00C31928">
        <w:rPr>
          <w:rFonts w:cstheme="minorHAnsi"/>
          <w:szCs w:val="20"/>
        </w:rPr>
        <w:br/>
      </w:r>
      <w:r w:rsidRPr="00605B54">
        <w:rPr>
          <w:rFonts w:cstheme="minorHAnsi"/>
          <w:szCs w:val="20"/>
        </w:rPr>
        <w:t>o obcích (obecní zřízení), ve znění pozdějších předpisů, tuto obecně závaznou vyhlášku (dále jen „</w:t>
      </w:r>
      <w:r w:rsidRPr="00E1682F">
        <w:rPr>
          <w:rFonts w:cstheme="minorHAnsi"/>
          <w:szCs w:val="20"/>
        </w:rPr>
        <w:t>vyhláška“):</w:t>
      </w:r>
    </w:p>
    <w:p w14:paraId="24B49786" w14:textId="77777777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1</w:t>
      </w:r>
    </w:p>
    <w:p w14:paraId="3F25AB53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Úvodní ustanovení</w:t>
      </w:r>
    </w:p>
    <w:p w14:paraId="232A591C" w14:textId="47C06A8C" w:rsidR="00E1682F" w:rsidRPr="00E1682F" w:rsidRDefault="00E1682F" w:rsidP="00E1682F">
      <w:pPr>
        <w:pStyle w:val="Normlnbezmezer"/>
        <w:numPr>
          <w:ilvl w:val="0"/>
          <w:numId w:val="8"/>
        </w:numPr>
        <w:spacing w:after="120"/>
        <w:ind w:left="284"/>
        <w:rPr>
          <w:szCs w:val="20"/>
        </w:rPr>
      </w:pPr>
      <w:r w:rsidRPr="00E1682F">
        <w:rPr>
          <w:szCs w:val="20"/>
        </w:rPr>
        <w:t xml:space="preserve">Město Lázně Bělohrad touto vyhláškou zavádí místní poplatek </w:t>
      </w:r>
      <w:r w:rsidR="00595E05">
        <w:rPr>
          <w:szCs w:val="20"/>
        </w:rPr>
        <w:t>za užívání veřejného prostranství</w:t>
      </w:r>
      <w:r w:rsidRPr="00E1682F">
        <w:rPr>
          <w:szCs w:val="20"/>
        </w:rPr>
        <w:t xml:space="preserve"> (dále jen „poplatek“).</w:t>
      </w:r>
    </w:p>
    <w:p w14:paraId="2AA9455D" w14:textId="3E37581E" w:rsidR="00E1682F" w:rsidRPr="00C80F17" w:rsidRDefault="00E1682F" w:rsidP="00E1682F">
      <w:pPr>
        <w:pStyle w:val="Normlnbezmezer"/>
        <w:numPr>
          <w:ilvl w:val="0"/>
          <w:numId w:val="8"/>
        </w:numPr>
        <w:spacing w:after="120"/>
        <w:ind w:left="284"/>
        <w:rPr>
          <w:szCs w:val="20"/>
        </w:rPr>
      </w:pPr>
      <w:r w:rsidRPr="00E1682F">
        <w:rPr>
          <w:szCs w:val="20"/>
        </w:rPr>
        <w:t>Správcem</w:t>
      </w:r>
      <w:r w:rsidRPr="005B7A8F">
        <w:rPr>
          <w:szCs w:val="20"/>
        </w:rPr>
        <w:t xml:space="preserve"> poplatku je městský úřad</w:t>
      </w:r>
      <w:r w:rsidR="00EB4E3F">
        <w:rPr>
          <w:szCs w:val="20"/>
        </w:rPr>
        <w:t>.</w:t>
      </w:r>
      <w:r w:rsidRPr="005B7A8F">
        <w:rPr>
          <w:szCs w:val="20"/>
        </w:rPr>
        <w:t xml:space="preserve"> </w:t>
      </w:r>
      <w:r w:rsidRPr="005B7A8F">
        <w:rPr>
          <w:szCs w:val="20"/>
          <w:vertAlign w:val="superscript"/>
        </w:rPr>
        <w:footnoteReference w:id="1"/>
      </w:r>
    </w:p>
    <w:p w14:paraId="3AD6D17C" w14:textId="77777777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2</w:t>
      </w:r>
    </w:p>
    <w:p w14:paraId="5E2F4D93" w14:textId="6FFE31D6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Předmět</w:t>
      </w:r>
      <w:r w:rsidR="00595E05">
        <w:rPr>
          <w:b/>
          <w:bCs/>
        </w:rPr>
        <w:t xml:space="preserve"> poplatku a</w:t>
      </w:r>
      <w:r w:rsidRPr="00E1682F">
        <w:rPr>
          <w:b/>
          <w:bCs/>
        </w:rPr>
        <w:t xml:space="preserve"> poplatník</w:t>
      </w:r>
    </w:p>
    <w:p w14:paraId="52EBF05B" w14:textId="6BEAA01D" w:rsidR="00CB26CB" w:rsidRPr="00CB26CB" w:rsidRDefault="00CB26CB" w:rsidP="00CB26CB">
      <w:pPr>
        <w:pStyle w:val="Odstavecseseznamem"/>
        <w:numPr>
          <w:ilvl w:val="0"/>
          <w:numId w:val="13"/>
        </w:numPr>
        <w:ind w:left="284"/>
      </w:pPr>
      <w:r w:rsidRPr="00CB26CB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7D09D9">
        <w:rPr>
          <w:rStyle w:val="Znakapoznpodarou"/>
        </w:rPr>
        <w:footnoteReference w:id="2"/>
      </w:r>
      <w:r w:rsidRPr="00CB26CB">
        <w:t xml:space="preserve"> </w:t>
      </w:r>
    </w:p>
    <w:p w14:paraId="4070B4C4" w14:textId="0FC03FED" w:rsidR="00CB26CB" w:rsidRPr="00CB26CB" w:rsidRDefault="00CB26CB" w:rsidP="00CB26CB">
      <w:pPr>
        <w:pStyle w:val="Odstavecseseznamem"/>
        <w:numPr>
          <w:ilvl w:val="0"/>
          <w:numId w:val="13"/>
        </w:numPr>
        <w:ind w:left="284"/>
      </w:pPr>
      <w:r w:rsidRPr="00CB26CB">
        <w:t>Poplatek za užívání veřejného prostranství platí fyzické i právnické osoby, které užívají veřejné prostranství způsobem uvedeným v odstavci 1 (dále jen „poplatník“).</w:t>
      </w:r>
      <w:r w:rsidR="000712B0">
        <w:rPr>
          <w:rStyle w:val="Znakapoznpodarou"/>
        </w:rPr>
        <w:footnoteReference w:id="3"/>
      </w:r>
    </w:p>
    <w:p w14:paraId="56D5F89E" w14:textId="77777777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3</w:t>
      </w:r>
    </w:p>
    <w:p w14:paraId="69AFAEE5" w14:textId="0A74C8AC" w:rsidR="00E1682F" w:rsidRPr="00E1682F" w:rsidRDefault="00CB26CB" w:rsidP="00E1682F">
      <w:pPr>
        <w:pStyle w:val="Normlnbezmezer"/>
        <w:spacing w:after="120"/>
        <w:jc w:val="center"/>
        <w:rPr>
          <w:b/>
          <w:bCs/>
        </w:rPr>
      </w:pPr>
      <w:r>
        <w:rPr>
          <w:b/>
          <w:bCs/>
        </w:rPr>
        <w:t>Veřejná prostranství</w:t>
      </w:r>
    </w:p>
    <w:p w14:paraId="1132576C" w14:textId="77777777" w:rsidR="00AC3B85" w:rsidRDefault="00AC3B85" w:rsidP="00AC3B85">
      <w:r w:rsidRPr="00AC3B85">
        <w:t xml:space="preserve">Poplatek se platí za užívání veřejných prostranství, která jsou uvedena jmenovitě v příloze č. 1. Tato příloha </w:t>
      </w:r>
      <w:proofErr w:type="gramStart"/>
      <w:r w:rsidRPr="00AC3B85">
        <w:t>tvoří</w:t>
      </w:r>
      <w:proofErr w:type="gramEnd"/>
      <w:r w:rsidRPr="00AC3B85">
        <w:t xml:space="preserve"> nedílnou součást této vyhlášky. </w:t>
      </w:r>
    </w:p>
    <w:p w14:paraId="67977A2B" w14:textId="23F1E030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4</w:t>
      </w:r>
    </w:p>
    <w:p w14:paraId="3936AE9F" w14:textId="5E399E60" w:rsidR="00E1682F" w:rsidRPr="00E1682F" w:rsidRDefault="00AC3B85" w:rsidP="00E1682F">
      <w:pPr>
        <w:pStyle w:val="Normlnbezmezer"/>
        <w:spacing w:after="120"/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0D3B1C18" w14:textId="614330CB" w:rsidR="008F33CC" w:rsidRDefault="008F33CC" w:rsidP="008F33CC">
      <w:pPr>
        <w:pStyle w:val="Odstavecseseznamem"/>
        <w:numPr>
          <w:ilvl w:val="0"/>
          <w:numId w:val="14"/>
        </w:numPr>
        <w:ind w:left="284"/>
      </w:pPr>
      <w:r>
        <w:t>Poplatník je povinen podat ohlášení nejpozději 10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nejbližší následující pracovní den.</w:t>
      </w:r>
    </w:p>
    <w:p w14:paraId="2FB17A98" w14:textId="777A4B7C" w:rsidR="008F33CC" w:rsidRDefault="008F33CC" w:rsidP="008F33CC">
      <w:pPr>
        <w:pStyle w:val="Odstavecseseznamem"/>
        <w:numPr>
          <w:ilvl w:val="0"/>
          <w:numId w:val="14"/>
        </w:numPr>
        <w:ind w:left="284"/>
      </w:pPr>
      <w:r>
        <w:lastRenderedPageBreak/>
        <w:t>Údaje uváděné v ohlášení upravuje zákon.</w:t>
      </w:r>
      <w:r w:rsidR="00E20682">
        <w:rPr>
          <w:rStyle w:val="Znakapoznpodarou"/>
        </w:rPr>
        <w:footnoteReference w:id="4"/>
      </w:r>
    </w:p>
    <w:p w14:paraId="0A4D6DCB" w14:textId="4394858C" w:rsidR="008F33CC" w:rsidRDefault="008F33CC" w:rsidP="008F33CC">
      <w:pPr>
        <w:pStyle w:val="Odstavecseseznamem"/>
        <w:numPr>
          <w:ilvl w:val="0"/>
          <w:numId w:val="14"/>
        </w:numPr>
        <w:ind w:left="284"/>
      </w:pPr>
      <w:r>
        <w:t>Dojde-li ke změně údajů uvedených v ohlášení, je poplatník povinen tuto změnu oznámit do 15 dnů ode dne, kdy nastala.</w:t>
      </w:r>
      <w:r w:rsidR="003176F1">
        <w:rPr>
          <w:rStyle w:val="Znakapoznpodarou"/>
        </w:rPr>
        <w:footnoteReference w:id="5"/>
      </w:r>
    </w:p>
    <w:p w14:paraId="0424ECA8" w14:textId="0B8BB939" w:rsidR="00E1682F" w:rsidRPr="00E1682F" w:rsidRDefault="00E1682F" w:rsidP="008F33CC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5</w:t>
      </w:r>
    </w:p>
    <w:p w14:paraId="1797A85A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Sazba poplatku</w:t>
      </w:r>
    </w:p>
    <w:p w14:paraId="2F03661C" w14:textId="58C31C26" w:rsidR="00742745" w:rsidRPr="00742745" w:rsidRDefault="00742745" w:rsidP="00742745">
      <w:pPr>
        <w:pStyle w:val="Odstavecseseznamem"/>
        <w:numPr>
          <w:ilvl w:val="0"/>
          <w:numId w:val="17"/>
        </w:numPr>
        <w:ind w:left="284"/>
      </w:pPr>
      <w:r w:rsidRPr="00742745">
        <w:t>Sazba poplatku činí za každý i započatý m</w:t>
      </w:r>
      <w:r w:rsidRPr="00742745">
        <w:rPr>
          <w:vertAlign w:val="superscript"/>
        </w:rPr>
        <w:t>2</w:t>
      </w:r>
      <w:r w:rsidRPr="00742745">
        <w:t xml:space="preserve"> a každý i započatý den:</w:t>
      </w:r>
    </w:p>
    <w:tbl>
      <w:tblPr>
        <w:tblStyle w:val="Mkatabulky"/>
        <w:tblW w:w="9057" w:type="dxa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655"/>
        <w:gridCol w:w="977"/>
      </w:tblGrid>
      <w:tr w:rsidR="00742745" w:rsidRPr="00B35D6B" w14:paraId="0A8CB3BB" w14:textId="77777777" w:rsidTr="00B011CF">
        <w:tc>
          <w:tcPr>
            <w:tcW w:w="425" w:type="dxa"/>
          </w:tcPr>
          <w:p w14:paraId="30710781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a)</w:t>
            </w:r>
          </w:p>
        </w:tc>
        <w:tc>
          <w:tcPr>
            <w:tcW w:w="7655" w:type="dxa"/>
          </w:tcPr>
          <w:p w14:paraId="7B39B6B4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dočasných staveb a zařízení sloužících pro poskytování služeb</w:t>
            </w:r>
          </w:p>
        </w:tc>
        <w:tc>
          <w:tcPr>
            <w:tcW w:w="977" w:type="dxa"/>
          </w:tcPr>
          <w:p w14:paraId="7023053C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5,- Kč,</w:t>
            </w:r>
          </w:p>
        </w:tc>
      </w:tr>
      <w:tr w:rsidR="00742745" w:rsidRPr="00B35D6B" w14:paraId="5B2C6396" w14:textId="77777777" w:rsidTr="00B011CF">
        <w:tc>
          <w:tcPr>
            <w:tcW w:w="425" w:type="dxa"/>
          </w:tcPr>
          <w:p w14:paraId="52D7B3D2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b)</w:t>
            </w:r>
          </w:p>
        </w:tc>
        <w:tc>
          <w:tcPr>
            <w:tcW w:w="7655" w:type="dxa"/>
          </w:tcPr>
          <w:p w14:paraId="381A638B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dočasných staveb</w:t>
            </w:r>
            <w:r w:rsidRPr="00B35D6B">
              <w:rPr>
                <w:rFonts w:cs="Rubik"/>
                <w:i/>
                <w:iCs/>
                <w:szCs w:val="20"/>
              </w:rPr>
              <w:t xml:space="preserve"> </w:t>
            </w:r>
            <w:r w:rsidRPr="00B35D6B">
              <w:rPr>
                <w:rFonts w:cs="Rubik"/>
                <w:szCs w:val="20"/>
              </w:rPr>
              <w:t>sloužících pro poskytování prodeje</w:t>
            </w:r>
          </w:p>
        </w:tc>
        <w:tc>
          <w:tcPr>
            <w:tcW w:w="977" w:type="dxa"/>
          </w:tcPr>
          <w:p w14:paraId="6769A6AF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10,- Kč,</w:t>
            </w:r>
          </w:p>
        </w:tc>
      </w:tr>
      <w:tr w:rsidR="00742745" w:rsidRPr="00B35D6B" w14:paraId="7D39E202" w14:textId="77777777" w:rsidTr="00B011CF">
        <w:tc>
          <w:tcPr>
            <w:tcW w:w="425" w:type="dxa"/>
          </w:tcPr>
          <w:p w14:paraId="50F54D6E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c)</w:t>
            </w:r>
          </w:p>
        </w:tc>
        <w:tc>
          <w:tcPr>
            <w:tcW w:w="7655" w:type="dxa"/>
          </w:tcPr>
          <w:p w14:paraId="6DA849ED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iCs/>
                <w:szCs w:val="20"/>
              </w:rPr>
              <w:t>za umístění zařízení sloužících pro poskytování prodeje</w:t>
            </w:r>
          </w:p>
        </w:tc>
        <w:tc>
          <w:tcPr>
            <w:tcW w:w="977" w:type="dxa"/>
          </w:tcPr>
          <w:p w14:paraId="6C29088C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20,- Kč,</w:t>
            </w:r>
          </w:p>
        </w:tc>
      </w:tr>
      <w:tr w:rsidR="00742745" w:rsidRPr="00B35D6B" w14:paraId="25B911B1" w14:textId="77777777" w:rsidTr="00B011CF">
        <w:tc>
          <w:tcPr>
            <w:tcW w:w="425" w:type="dxa"/>
          </w:tcPr>
          <w:p w14:paraId="30A0705F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d)</w:t>
            </w:r>
          </w:p>
        </w:tc>
        <w:tc>
          <w:tcPr>
            <w:tcW w:w="7655" w:type="dxa"/>
          </w:tcPr>
          <w:p w14:paraId="1603B9EA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provádění výkopových prací</w:t>
            </w:r>
          </w:p>
        </w:tc>
        <w:tc>
          <w:tcPr>
            <w:tcW w:w="977" w:type="dxa"/>
          </w:tcPr>
          <w:p w14:paraId="280011D6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1,- Kč,</w:t>
            </w:r>
          </w:p>
        </w:tc>
      </w:tr>
      <w:tr w:rsidR="00742745" w:rsidRPr="00B35D6B" w14:paraId="58A7ED65" w14:textId="77777777" w:rsidTr="00B011CF">
        <w:tc>
          <w:tcPr>
            <w:tcW w:w="425" w:type="dxa"/>
          </w:tcPr>
          <w:p w14:paraId="47E869B3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e)</w:t>
            </w:r>
          </w:p>
        </w:tc>
        <w:tc>
          <w:tcPr>
            <w:tcW w:w="7655" w:type="dxa"/>
          </w:tcPr>
          <w:p w14:paraId="3A2BCCEC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stavebních zařízení</w:t>
            </w:r>
          </w:p>
        </w:tc>
        <w:tc>
          <w:tcPr>
            <w:tcW w:w="977" w:type="dxa"/>
          </w:tcPr>
          <w:p w14:paraId="3D614BDB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1,- Kč,</w:t>
            </w:r>
          </w:p>
        </w:tc>
      </w:tr>
      <w:tr w:rsidR="00742745" w:rsidRPr="00B35D6B" w14:paraId="299B5CBC" w14:textId="77777777" w:rsidTr="00B011CF">
        <w:tc>
          <w:tcPr>
            <w:tcW w:w="425" w:type="dxa"/>
          </w:tcPr>
          <w:p w14:paraId="3D4B178E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f)</w:t>
            </w:r>
          </w:p>
        </w:tc>
        <w:tc>
          <w:tcPr>
            <w:tcW w:w="7655" w:type="dxa"/>
          </w:tcPr>
          <w:p w14:paraId="04D37097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iCs/>
                <w:szCs w:val="20"/>
              </w:rPr>
              <w:t>za umístění reklamních zařízení</w:t>
            </w:r>
          </w:p>
        </w:tc>
        <w:tc>
          <w:tcPr>
            <w:tcW w:w="977" w:type="dxa"/>
          </w:tcPr>
          <w:p w14:paraId="3E9307B4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10,- Kč,</w:t>
            </w:r>
          </w:p>
        </w:tc>
      </w:tr>
      <w:tr w:rsidR="00742745" w:rsidRPr="00B35D6B" w14:paraId="0365267D" w14:textId="77777777" w:rsidTr="00B011CF">
        <w:tc>
          <w:tcPr>
            <w:tcW w:w="425" w:type="dxa"/>
          </w:tcPr>
          <w:p w14:paraId="484151B1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g)</w:t>
            </w:r>
          </w:p>
        </w:tc>
        <w:tc>
          <w:tcPr>
            <w:tcW w:w="7655" w:type="dxa"/>
          </w:tcPr>
          <w:p w14:paraId="0CE7D263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iCs/>
                <w:szCs w:val="20"/>
              </w:rPr>
              <w:t>za umístění zařízení lunaparků a jiných obdobných atrakcí</w:t>
            </w:r>
          </w:p>
        </w:tc>
        <w:tc>
          <w:tcPr>
            <w:tcW w:w="977" w:type="dxa"/>
          </w:tcPr>
          <w:p w14:paraId="347EE6B3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5,- Kč,</w:t>
            </w:r>
          </w:p>
        </w:tc>
      </w:tr>
      <w:tr w:rsidR="00742745" w:rsidRPr="00B35D6B" w14:paraId="3083DB93" w14:textId="77777777" w:rsidTr="00B011CF">
        <w:tc>
          <w:tcPr>
            <w:tcW w:w="425" w:type="dxa"/>
          </w:tcPr>
          <w:p w14:paraId="5A824B7F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h)</w:t>
            </w:r>
          </w:p>
        </w:tc>
        <w:tc>
          <w:tcPr>
            <w:tcW w:w="7655" w:type="dxa"/>
          </w:tcPr>
          <w:p w14:paraId="539728EB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zařízení cirkusů</w:t>
            </w:r>
          </w:p>
        </w:tc>
        <w:tc>
          <w:tcPr>
            <w:tcW w:w="977" w:type="dxa"/>
          </w:tcPr>
          <w:p w14:paraId="69099AC8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5,- Kč,</w:t>
            </w:r>
          </w:p>
        </w:tc>
      </w:tr>
      <w:tr w:rsidR="00742745" w:rsidRPr="00B35D6B" w14:paraId="70D9F108" w14:textId="77777777" w:rsidTr="00B011CF">
        <w:tc>
          <w:tcPr>
            <w:tcW w:w="425" w:type="dxa"/>
          </w:tcPr>
          <w:p w14:paraId="4D8B65FA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i)</w:t>
            </w:r>
          </w:p>
        </w:tc>
        <w:tc>
          <w:tcPr>
            <w:tcW w:w="7655" w:type="dxa"/>
          </w:tcPr>
          <w:p w14:paraId="77D3FDE9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skládek</w:t>
            </w:r>
          </w:p>
        </w:tc>
        <w:tc>
          <w:tcPr>
            <w:tcW w:w="977" w:type="dxa"/>
          </w:tcPr>
          <w:p w14:paraId="1AC0C889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3,- Kč,</w:t>
            </w:r>
          </w:p>
        </w:tc>
      </w:tr>
      <w:tr w:rsidR="00742745" w:rsidRPr="00B35D6B" w14:paraId="7C2FADAD" w14:textId="77777777" w:rsidTr="00B011CF">
        <w:tc>
          <w:tcPr>
            <w:tcW w:w="425" w:type="dxa"/>
          </w:tcPr>
          <w:p w14:paraId="7400A1C2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j)</w:t>
            </w:r>
          </w:p>
        </w:tc>
        <w:tc>
          <w:tcPr>
            <w:tcW w:w="7655" w:type="dxa"/>
          </w:tcPr>
          <w:p w14:paraId="574A985F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užívání veřejného prostranství pro reklamní akce</w:t>
            </w:r>
          </w:p>
        </w:tc>
        <w:tc>
          <w:tcPr>
            <w:tcW w:w="977" w:type="dxa"/>
          </w:tcPr>
          <w:p w14:paraId="63C448F4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10,- Kč,</w:t>
            </w:r>
          </w:p>
        </w:tc>
      </w:tr>
      <w:tr w:rsidR="00742745" w:rsidRPr="00B35D6B" w14:paraId="10522EF5" w14:textId="77777777" w:rsidTr="00B011CF">
        <w:tc>
          <w:tcPr>
            <w:tcW w:w="425" w:type="dxa"/>
          </w:tcPr>
          <w:p w14:paraId="4C26BB69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k)</w:t>
            </w:r>
          </w:p>
        </w:tc>
        <w:tc>
          <w:tcPr>
            <w:tcW w:w="7655" w:type="dxa"/>
          </w:tcPr>
          <w:p w14:paraId="04F084D6" w14:textId="77777777" w:rsidR="00742745" w:rsidRPr="00B35D6B" w:rsidRDefault="00742745" w:rsidP="00897D1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užívání veřejného prostranství pro potřeby tvorby filmových a televizních děl</w:t>
            </w:r>
          </w:p>
        </w:tc>
        <w:tc>
          <w:tcPr>
            <w:tcW w:w="977" w:type="dxa"/>
          </w:tcPr>
          <w:p w14:paraId="1A24C97B" w14:textId="77777777" w:rsidR="00742745" w:rsidRPr="00B35D6B" w:rsidRDefault="00742745" w:rsidP="00897D1F">
            <w:pPr>
              <w:pStyle w:val="Bezmezer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5,- Kč.</w:t>
            </w:r>
          </w:p>
        </w:tc>
      </w:tr>
    </w:tbl>
    <w:p w14:paraId="3BE0141E" w14:textId="77777777" w:rsidR="00742745" w:rsidRPr="00B35D6B" w:rsidRDefault="00742745" w:rsidP="00742745">
      <w:pPr>
        <w:pStyle w:val="Bezmezer"/>
        <w:tabs>
          <w:tab w:val="left" w:pos="1134"/>
        </w:tabs>
        <w:rPr>
          <w:rFonts w:cs="Rubik"/>
          <w:szCs w:val="20"/>
        </w:rPr>
      </w:pPr>
    </w:p>
    <w:p w14:paraId="1E7095B2" w14:textId="77777777" w:rsidR="00742745" w:rsidRPr="00742745" w:rsidRDefault="00742745" w:rsidP="00742745">
      <w:pPr>
        <w:pStyle w:val="Odstavecseseznamem"/>
        <w:numPr>
          <w:ilvl w:val="0"/>
          <w:numId w:val="17"/>
        </w:numPr>
        <w:ind w:left="284"/>
      </w:pPr>
      <w:r w:rsidRPr="00742745">
        <w:t>Město stanovuje poplatek paušální částkou takto:</w:t>
      </w:r>
    </w:p>
    <w:tbl>
      <w:tblPr>
        <w:tblStyle w:val="Mkatabulky"/>
        <w:tblpPr w:leftFromText="141" w:rightFromText="141" w:vertAnchor="text" w:horzAnchor="margin" w:tblpXSpec="right" w:tblpY="9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6531"/>
        <w:gridCol w:w="2268"/>
      </w:tblGrid>
      <w:tr w:rsidR="00742745" w:rsidRPr="00B35D6B" w14:paraId="08653B51" w14:textId="77777777" w:rsidTr="00B011CF">
        <w:trPr>
          <w:trHeight w:val="522"/>
        </w:trPr>
        <w:tc>
          <w:tcPr>
            <w:tcW w:w="415" w:type="dxa"/>
          </w:tcPr>
          <w:p w14:paraId="602B9C7D" w14:textId="77777777" w:rsidR="00742745" w:rsidRPr="00B35D6B" w:rsidRDefault="00742745" w:rsidP="00B011CF">
            <w:pPr>
              <w:spacing w:line="312" w:lineRule="auto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a)</w:t>
            </w:r>
          </w:p>
        </w:tc>
        <w:tc>
          <w:tcPr>
            <w:tcW w:w="6531" w:type="dxa"/>
          </w:tcPr>
          <w:p w14:paraId="041F448D" w14:textId="77777777" w:rsidR="00742745" w:rsidRPr="00B35D6B" w:rsidRDefault="00742745" w:rsidP="00B011CF">
            <w:pPr>
              <w:pStyle w:val="Bezmezer"/>
              <w:contextualSpacing/>
              <w:jc w:val="lef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dočasných staveb a zařízení sloužících pro poskytování služeb                za každý započatý 1 m</w:t>
            </w:r>
            <w:r w:rsidRPr="00B35D6B">
              <w:rPr>
                <w:rFonts w:cs="Rubik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E95803B" w14:textId="77777777" w:rsidR="00742745" w:rsidRPr="00B35D6B" w:rsidRDefault="00742745" w:rsidP="00B011CF">
            <w:pPr>
              <w:spacing w:line="312" w:lineRule="auto"/>
              <w:jc w:val="right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 xml:space="preserve">    </w:t>
            </w:r>
            <w:r w:rsidRPr="00B35D6B">
              <w:rPr>
                <w:rFonts w:cs="Rubik"/>
                <w:szCs w:val="20"/>
              </w:rPr>
              <w:t>100,- Kč/měsíc,</w:t>
            </w:r>
          </w:p>
        </w:tc>
      </w:tr>
      <w:tr w:rsidR="00742745" w:rsidRPr="00B35D6B" w14:paraId="1C5AC004" w14:textId="77777777" w:rsidTr="00B011CF">
        <w:trPr>
          <w:trHeight w:val="522"/>
        </w:trPr>
        <w:tc>
          <w:tcPr>
            <w:tcW w:w="415" w:type="dxa"/>
          </w:tcPr>
          <w:p w14:paraId="2EA14AC6" w14:textId="77777777" w:rsidR="00742745" w:rsidRPr="00B35D6B" w:rsidRDefault="00742745" w:rsidP="00B011CF">
            <w:pPr>
              <w:spacing w:line="312" w:lineRule="auto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b)</w:t>
            </w:r>
          </w:p>
        </w:tc>
        <w:tc>
          <w:tcPr>
            <w:tcW w:w="6531" w:type="dxa"/>
          </w:tcPr>
          <w:p w14:paraId="7CBE582E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dočasných staveb sloužících pro poskytování prodeje</w:t>
            </w:r>
          </w:p>
          <w:p w14:paraId="2D49DD24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každý započatý 1 m</w:t>
            </w:r>
            <w:r w:rsidRPr="00B35D6B">
              <w:rPr>
                <w:rFonts w:cs="Rubik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05B56E72" w14:textId="77777777" w:rsidR="00742745" w:rsidRPr="00B35D6B" w:rsidRDefault="00742745" w:rsidP="00B011CF">
            <w:pPr>
              <w:spacing w:line="312" w:lineRule="auto"/>
              <w:jc w:val="right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 xml:space="preserve">    </w:t>
            </w:r>
            <w:r w:rsidRPr="00B35D6B">
              <w:rPr>
                <w:rFonts w:cs="Rubik"/>
                <w:szCs w:val="20"/>
              </w:rPr>
              <w:t xml:space="preserve">100,- Kč/měsíc, </w:t>
            </w:r>
          </w:p>
        </w:tc>
      </w:tr>
      <w:tr w:rsidR="00742745" w:rsidRPr="00B35D6B" w14:paraId="2286E98E" w14:textId="77777777" w:rsidTr="00B011CF">
        <w:trPr>
          <w:trHeight w:val="753"/>
        </w:trPr>
        <w:tc>
          <w:tcPr>
            <w:tcW w:w="415" w:type="dxa"/>
          </w:tcPr>
          <w:p w14:paraId="6085208F" w14:textId="77777777" w:rsidR="00742745" w:rsidRPr="00B35D6B" w:rsidRDefault="00742745" w:rsidP="00B011CF">
            <w:pPr>
              <w:spacing w:line="312" w:lineRule="auto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c)</w:t>
            </w:r>
          </w:p>
        </w:tc>
        <w:tc>
          <w:tcPr>
            <w:tcW w:w="6531" w:type="dxa"/>
          </w:tcPr>
          <w:p w14:paraId="6E3EF63F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 xml:space="preserve">za umístění zařízení sloužících pro poskytování </w:t>
            </w:r>
            <w:r w:rsidRPr="00C22FBF">
              <w:rPr>
                <w:rFonts w:cs="Rubik"/>
                <w:szCs w:val="20"/>
              </w:rPr>
              <w:t>prodeje</w:t>
            </w:r>
          </w:p>
          <w:p w14:paraId="0079C919" w14:textId="69F4B408" w:rsidR="00742745" w:rsidRPr="00B35D6B" w:rsidRDefault="00742745" w:rsidP="00B011CF">
            <w:pPr>
              <w:pStyle w:val="Bezmezer"/>
              <w:contextualSpacing/>
              <w:jc w:val="lef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(</w:t>
            </w:r>
            <w:r w:rsidRPr="00A435C2">
              <w:rPr>
                <w:rFonts w:cs="Rubik"/>
                <w:szCs w:val="20"/>
              </w:rPr>
              <w:t xml:space="preserve">restauračních </w:t>
            </w:r>
            <w:r w:rsidRPr="002B119F">
              <w:rPr>
                <w:rFonts w:cs="Rubik"/>
                <w:szCs w:val="20"/>
              </w:rPr>
              <w:t>stolků a zahrádek sloužících k občerstvení za každý</w:t>
            </w:r>
            <w:r w:rsidR="00185F12" w:rsidRPr="002B119F">
              <w:rPr>
                <w:rFonts w:cs="Rubik"/>
                <w:szCs w:val="20"/>
              </w:rPr>
              <w:t>ch</w:t>
            </w:r>
            <w:r w:rsidRPr="002B119F">
              <w:rPr>
                <w:rFonts w:cs="Rubik"/>
                <w:szCs w:val="20"/>
              </w:rPr>
              <w:t xml:space="preserve"> započatých 10 m</w:t>
            </w:r>
            <w:r w:rsidRPr="002B119F">
              <w:rPr>
                <w:rFonts w:cs="Rubik"/>
                <w:szCs w:val="20"/>
                <w:vertAlign w:val="superscript"/>
              </w:rPr>
              <w:t>2</w:t>
            </w:r>
            <w:r w:rsidRPr="002B119F">
              <w:rPr>
                <w:rFonts w:cs="Rubik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B248172" w14:textId="77777777" w:rsidR="00742745" w:rsidRPr="00B35D6B" w:rsidRDefault="00742745" w:rsidP="00B011CF">
            <w:pPr>
              <w:spacing w:line="312" w:lineRule="auto"/>
              <w:jc w:val="right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 xml:space="preserve">    </w:t>
            </w:r>
            <w:r w:rsidRPr="00B35D6B">
              <w:rPr>
                <w:rFonts w:cs="Rubik"/>
                <w:szCs w:val="20"/>
              </w:rPr>
              <w:t>400,- Kč/měsíc,</w:t>
            </w:r>
          </w:p>
        </w:tc>
      </w:tr>
      <w:tr w:rsidR="00742745" w:rsidRPr="00B35D6B" w14:paraId="31A5B10E" w14:textId="77777777" w:rsidTr="00B011CF">
        <w:trPr>
          <w:trHeight w:val="522"/>
        </w:trPr>
        <w:tc>
          <w:tcPr>
            <w:tcW w:w="415" w:type="dxa"/>
          </w:tcPr>
          <w:p w14:paraId="2CBAA42F" w14:textId="77777777" w:rsidR="00742745" w:rsidRPr="00B35D6B" w:rsidRDefault="00742745" w:rsidP="00B011CF">
            <w:pPr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>d)</w:t>
            </w:r>
          </w:p>
        </w:tc>
        <w:tc>
          <w:tcPr>
            <w:tcW w:w="6531" w:type="dxa"/>
          </w:tcPr>
          <w:p w14:paraId="0F397060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 xml:space="preserve">za umístění zařízení sloužících pro poskytování </w:t>
            </w:r>
            <w:r w:rsidRPr="00C22FBF">
              <w:rPr>
                <w:rFonts w:cs="Rubik"/>
                <w:szCs w:val="20"/>
              </w:rPr>
              <w:t>prodeje</w:t>
            </w:r>
            <w:r>
              <w:rPr>
                <w:rFonts w:cs="Rubik"/>
                <w:szCs w:val="20"/>
              </w:rPr>
              <w:t xml:space="preserve"> </w:t>
            </w:r>
          </w:p>
          <w:p w14:paraId="2998C96D" w14:textId="77777777" w:rsidR="00742745" w:rsidRPr="00B35D6B" w:rsidRDefault="00742745" w:rsidP="00B011CF">
            <w:pPr>
              <w:pStyle w:val="Bezmezer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>(zboží přechodně vystavené před stálou prodejnou za každý započatý 1 m</w:t>
            </w:r>
            <w:r>
              <w:rPr>
                <w:rFonts w:cs="Rubik"/>
                <w:szCs w:val="20"/>
                <w:vertAlign w:val="superscript"/>
              </w:rPr>
              <w:t>2</w:t>
            </w:r>
            <w:r w:rsidRPr="00B35D6B">
              <w:rPr>
                <w:rFonts w:cs="Rubik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65741710" w14:textId="77777777" w:rsidR="00742745" w:rsidRPr="00B35D6B" w:rsidRDefault="00742745" w:rsidP="00B011CF">
            <w:pPr>
              <w:jc w:val="right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 xml:space="preserve">    200,- Kč/měsíc,</w:t>
            </w:r>
          </w:p>
        </w:tc>
      </w:tr>
      <w:tr w:rsidR="00742745" w:rsidRPr="00B35D6B" w14:paraId="57FC4D5E" w14:textId="77777777" w:rsidTr="00B011CF">
        <w:trPr>
          <w:trHeight w:val="522"/>
        </w:trPr>
        <w:tc>
          <w:tcPr>
            <w:tcW w:w="415" w:type="dxa"/>
          </w:tcPr>
          <w:p w14:paraId="3C8643AC" w14:textId="77777777" w:rsidR="00742745" w:rsidRPr="00B35D6B" w:rsidRDefault="00742745" w:rsidP="00B011CF">
            <w:pPr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>e</w:t>
            </w:r>
            <w:r w:rsidRPr="00B35D6B">
              <w:rPr>
                <w:rFonts w:cs="Rubik"/>
                <w:szCs w:val="20"/>
              </w:rPr>
              <w:t>)</w:t>
            </w:r>
          </w:p>
        </w:tc>
        <w:tc>
          <w:tcPr>
            <w:tcW w:w="6531" w:type="dxa"/>
          </w:tcPr>
          <w:p w14:paraId="05DEF24F" w14:textId="551CE194" w:rsidR="00742745" w:rsidRPr="00B35D6B" w:rsidRDefault="00742745" w:rsidP="00B011CF">
            <w:pPr>
              <w:pStyle w:val="Bezmezer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stavební</w:t>
            </w:r>
            <w:r w:rsidR="00185F12">
              <w:rPr>
                <w:rFonts w:cs="Rubik"/>
                <w:szCs w:val="20"/>
              </w:rPr>
              <w:t xml:space="preserve">ch zařízení </w:t>
            </w:r>
            <w:r w:rsidRPr="00B35D6B">
              <w:rPr>
                <w:rFonts w:cs="Rubik"/>
                <w:szCs w:val="20"/>
              </w:rPr>
              <w:t>za každých započatých 10 m</w:t>
            </w:r>
            <w:r w:rsidRPr="00B35D6B">
              <w:rPr>
                <w:rFonts w:cs="Rubik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5502657D" w14:textId="2491A96F" w:rsidR="00742745" w:rsidRPr="00B35D6B" w:rsidRDefault="00742745" w:rsidP="00B011CF">
            <w:pPr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 xml:space="preserve"> </w:t>
            </w:r>
            <w:r>
              <w:rPr>
                <w:rFonts w:cs="Rubik"/>
                <w:szCs w:val="20"/>
              </w:rPr>
              <w:t xml:space="preserve">  </w:t>
            </w:r>
            <w:r w:rsidRPr="00B35D6B">
              <w:rPr>
                <w:rFonts w:cs="Rubik"/>
                <w:szCs w:val="20"/>
              </w:rPr>
              <w:t xml:space="preserve"> 200,- Kč</w:t>
            </w:r>
            <w:r w:rsidR="00185F12">
              <w:rPr>
                <w:rFonts w:cs="Rubik"/>
                <w:szCs w:val="20"/>
              </w:rPr>
              <w:t>/měsíc</w:t>
            </w:r>
            <w:r w:rsidRPr="00B35D6B">
              <w:rPr>
                <w:rFonts w:cs="Rubik"/>
                <w:szCs w:val="20"/>
              </w:rPr>
              <w:t xml:space="preserve">, </w:t>
            </w:r>
          </w:p>
        </w:tc>
      </w:tr>
      <w:tr w:rsidR="00742745" w:rsidRPr="00B35D6B" w14:paraId="72F2D25D" w14:textId="77777777" w:rsidTr="00B011CF">
        <w:trPr>
          <w:trHeight w:val="522"/>
        </w:trPr>
        <w:tc>
          <w:tcPr>
            <w:tcW w:w="415" w:type="dxa"/>
          </w:tcPr>
          <w:p w14:paraId="0530EAA4" w14:textId="77777777" w:rsidR="00742745" w:rsidRPr="00B35D6B" w:rsidRDefault="00742745" w:rsidP="00B011CF">
            <w:pPr>
              <w:spacing w:line="312" w:lineRule="auto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>f</w:t>
            </w:r>
            <w:r w:rsidRPr="00B35D6B">
              <w:rPr>
                <w:rFonts w:cs="Rubik"/>
                <w:szCs w:val="20"/>
              </w:rPr>
              <w:t>)</w:t>
            </w:r>
          </w:p>
        </w:tc>
        <w:tc>
          <w:tcPr>
            <w:tcW w:w="6531" w:type="dxa"/>
          </w:tcPr>
          <w:p w14:paraId="40A640BD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reklamních zařízení</w:t>
            </w:r>
          </w:p>
          <w:p w14:paraId="450E5E1D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(přenosné stojanové zařízení při záboru do 1 m</w:t>
            </w:r>
            <w:r w:rsidRPr="00B35D6B">
              <w:rPr>
                <w:rFonts w:cs="Rubik"/>
                <w:szCs w:val="20"/>
                <w:vertAlign w:val="superscript"/>
              </w:rPr>
              <w:t xml:space="preserve">2 </w:t>
            </w:r>
            <w:r w:rsidRPr="00B35D6B">
              <w:rPr>
                <w:rFonts w:cs="Rubik"/>
                <w:szCs w:val="20"/>
              </w:rPr>
              <w:t>včetně)</w:t>
            </w:r>
          </w:p>
        </w:tc>
        <w:tc>
          <w:tcPr>
            <w:tcW w:w="2268" w:type="dxa"/>
            <w:vAlign w:val="center"/>
          </w:tcPr>
          <w:p w14:paraId="533D5500" w14:textId="77777777" w:rsidR="00742745" w:rsidRPr="00B35D6B" w:rsidRDefault="00742745" w:rsidP="00B011CF">
            <w:pPr>
              <w:spacing w:line="312" w:lineRule="auto"/>
              <w:jc w:val="right"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 xml:space="preserve"> </w:t>
            </w:r>
            <w:r>
              <w:rPr>
                <w:rFonts w:cs="Rubik"/>
                <w:szCs w:val="20"/>
              </w:rPr>
              <w:t xml:space="preserve"> </w:t>
            </w:r>
            <w:r w:rsidRPr="00B35D6B">
              <w:rPr>
                <w:rFonts w:cs="Rubik"/>
                <w:szCs w:val="20"/>
              </w:rPr>
              <w:t xml:space="preserve"> </w:t>
            </w:r>
            <w:r>
              <w:rPr>
                <w:rFonts w:cs="Rubik"/>
                <w:szCs w:val="20"/>
              </w:rPr>
              <w:t xml:space="preserve"> </w:t>
            </w:r>
            <w:r w:rsidRPr="00B35D6B">
              <w:rPr>
                <w:rFonts w:cs="Rubik"/>
                <w:szCs w:val="20"/>
              </w:rPr>
              <w:t>300,- Kč/rok/kus,</w:t>
            </w:r>
          </w:p>
        </w:tc>
      </w:tr>
      <w:tr w:rsidR="00742745" w:rsidRPr="00B35D6B" w14:paraId="6BD8E2AB" w14:textId="77777777" w:rsidTr="00B011CF">
        <w:trPr>
          <w:trHeight w:val="522"/>
        </w:trPr>
        <w:tc>
          <w:tcPr>
            <w:tcW w:w="415" w:type="dxa"/>
          </w:tcPr>
          <w:p w14:paraId="687D332B" w14:textId="77777777" w:rsidR="00742745" w:rsidRPr="00B35D6B" w:rsidRDefault="00742745" w:rsidP="00B011CF">
            <w:pPr>
              <w:spacing w:line="312" w:lineRule="auto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>g</w:t>
            </w:r>
            <w:r w:rsidRPr="00B35D6B">
              <w:rPr>
                <w:rFonts w:cs="Rubik"/>
                <w:szCs w:val="20"/>
              </w:rPr>
              <w:t>)</w:t>
            </w:r>
          </w:p>
        </w:tc>
        <w:tc>
          <w:tcPr>
            <w:tcW w:w="6531" w:type="dxa"/>
          </w:tcPr>
          <w:p w14:paraId="2620DC5A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za umístění reklamních zařízení</w:t>
            </w:r>
          </w:p>
          <w:p w14:paraId="55B23978" w14:textId="77777777" w:rsidR="00742745" w:rsidRPr="00B35D6B" w:rsidRDefault="00742745" w:rsidP="00B011CF">
            <w:pPr>
              <w:pStyle w:val="Bezmezer"/>
              <w:contextualSpacing/>
              <w:rPr>
                <w:rFonts w:cs="Rubik"/>
                <w:szCs w:val="20"/>
              </w:rPr>
            </w:pPr>
            <w:r w:rsidRPr="00B35D6B">
              <w:rPr>
                <w:rFonts w:cs="Rubik"/>
                <w:szCs w:val="20"/>
              </w:rPr>
              <w:t>(napevno umístěné zařízení při záboru do 1 m</w:t>
            </w:r>
            <w:r w:rsidRPr="00B35D6B">
              <w:rPr>
                <w:rFonts w:cs="Rubik"/>
                <w:szCs w:val="20"/>
                <w:vertAlign w:val="superscript"/>
              </w:rPr>
              <w:t>2</w:t>
            </w:r>
            <w:r>
              <w:rPr>
                <w:rFonts w:cs="Rubik"/>
                <w:szCs w:val="20"/>
                <w:vertAlign w:val="superscript"/>
              </w:rPr>
              <w:t xml:space="preserve"> </w:t>
            </w:r>
            <w:r w:rsidRPr="00B35D6B">
              <w:rPr>
                <w:rFonts w:cs="Rubik"/>
                <w:szCs w:val="20"/>
              </w:rPr>
              <w:t>včetně)</w:t>
            </w:r>
          </w:p>
        </w:tc>
        <w:tc>
          <w:tcPr>
            <w:tcW w:w="2268" w:type="dxa"/>
            <w:vAlign w:val="center"/>
          </w:tcPr>
          <w:p w14:paraId="31538317" w14:textId="7932DBF8" w:rsidR="00742745" w:rsidRPr="00B35D6B" w:rsidRDefault="00742745" w:rsidP="00B011CF">
            <w:pPr>
              <w:spacing w:line="312" w:lineRule="auto"/>
              <w:jc w:val="right"/>
              <w:rPr>
                <w:rFonts w:cs="Rubik"/>
                <w:szCs w:val="20"/>
              </w:rPr>
            </w:pPr>
            <w:r>
              <w:rPr>
                <w:rFonts w:cs="Rubik"/>
                <w:szCs w:val="20"/>
              </w:rPr>
              <w:t xml:space="preserve"> </w:t>
            </w:r>
            <w:r w:rsidRPr="00B35D6B">
              <w:rPr>
                <w:rFonts w:cs="Rubik"/>
                <w:szCs w:val="20"/>
              </w:rPr>
              <w:t>1</w:t>
            </w:r>
            <w:r w:rsidR="00B011CF">
              <w:rPr>
                <w:rFonts w:cs="Rubik"/>
                <w:szCs w:val="20"/>
              </w:rPr>
              <w:t xml:space="preserve"> </w:t>
            </w:r>
            <w:r w:rsidRPr="00B35D6B">
              <w:rPr>
                <w:rFonts w:cs="Rubik"/>
                <w:szCs w:val="20"/>
              </w:rPr>
              <w:t xml:space="preserve">000,- Kč/rok. </w:t>
            </w:r>
          </w:p>
        </w:tc>
      </w:tr>
    </w:tbl>
    <w:p w14:paraId="1B3BF3F9" w14:textId="77777777" w:rsidR="00742745" w:rsidRPr="00742745" w:rsidRDefault="00742745" w:rsidP="00742745">
      <w:pPr>
        <w:pStyle w:val="Odstavecseseznamem"/>
        <w:numPr>
          <w:ilvl w:val="0"/>
          <w:numId w:val="17"/>
        </w:numPr>
        <w:ind w:left="284"/>
      </w:pPr>
      <w:r w:rsidRPr="00742745">
        <w:t>Volbu placení poplatku paušální částkou včetně výběru varianty paušální částky sdělí poplatník správci poplatku v rámci ohlášení dle čl. 4 odst. 1.</w:t>
      </w:r>
    </w:p>
    <w:p w14:paraId="2C4FDFFE" w14:textId="70B8E8C1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6</w:t>
      </w:r>
    </w:p>
    <w:p w14:paraId="0F50E55C" w14:textId="00C62A21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Splatnost poplatku</w:t>
      </w:r>
    </w:p>
    <w:p w14:paraId="7B3A2579" w14:textId="7E550639" w:rsidR="00836B25" w:rsidRDefault="00836B25" w:rsidP="00836B25">
      <w:pPr>
        <w:pStyle w:val="Odstavecseseznamem"/>
        <w:numPr>
          <w:ilvl w:val="0"/>
          <w:numId w:val="18"/>
        </w:numPr>
        <w:ind w:left="284"/>
      </w:pPr>
      <w:r>
        <w:t>Poplatek ve stanovené výši</w:t>
      </w:r>
      <w:r w:rsidR="00185F12">
        <w:t xml:space="preserve"> dle čl. 5 odst. 1</w:t>
      </w:r>
      <w:r>
        <w:t xml:space="preserve"> je splatný:</w:t>
      </w:r>
    </w:p>
    <w:p w14:paraId="00BC9FAD" w14:textId="723E8637" w:rsidR="00836B25" w:rsidRDefault="00836B25" w:rsidP="0024024A">
      <w:pPr>
        <w:pStyle w:val="Odstavecseseznamem"/>
        <w:numPr>
          <w:ilvl w:val="1"/>
          <w:numId w:val="19"/>
        </w:numPr>
        <w:ind w:left="709"/>
      </w:pPr>
      <w:r>
        <w:t>při užívání veřejn</w:t>
      </w:r>
      <w:r w:rsidR="00185F12">
        <w:t xml:space="preserve">ého prostranství po dobu </w:t>
      </w:r>
      <w:r>
        <w:t xml:space="preserve">3 </w:t>
      </w:r>
      <w:r w:rsidR="00570AD0">
        <w:t>dnů a</w:t>
      </w:r>
      <w:r w:rsidR="00185F12">
        <w:t xml:space="preserve"> kratší </w:t>
      </w:r>
      <w:r>
        <w:t>nejpozději v den ukončení užívání veřejného prostranství,</w:t>
      </w:r>
    </w:p>
    <w:p w14:paraId="5F46681E" w14:textId="0B9A8801" w:rsidR="00836B25" w:rsidRDefault="00836B25" w:rsidP="0024024A">
      <w:pPr>
        <w:pStyle w:val="Odstavecseseznamem"/>
        <w:numPr>
          <w:ilvl w:val="1"/>
          <w:numId w:val="19"/>
        </w:numPr>
        <w:ind w:left="709"/>
      </w:pPr>
      <w:r>
        <w:t xml:space="preserve">při užívání </w:t>
      </w:r>
      <w:r w:rsidR="00185F12">
        <w:t>veřejného prostranství po dobu 4</w:t>
      </w:r>
      <w:r>
        <w:t xml:space="preserve"> dnů nebo delší nejpozději do 3 dnů od ukončení užívání veřejného prostranství.</w:t>
      </w:r>
    </w:p>
    <w:p w14:paraId="2B15308D" w14:textId="63278059" w:rsidR="00836B25" w:rsidRDefault="00836B25" w:rsidP="00836B25">
      <w:pPr>
        <w:pStyle w:val="Odstavecseseznamem"/>
        <w:numPr>
          <w:ilvl w:val="0"/>
          <w:numId w:val="18"/>
        </w:numPr>
        <w:ind w:left="284"/>
      </w:pPr>
      <w:r>
        <w:lastRenderedPageBreak/>
        <w:t>Poplatek stanovený paušální částkou je splatný</w:t>
      </w:r>
      <w:r w:rsidR="00185F12">
        <w:t xml:space="preserve"> do 15 dnů</w:t>
      </w:r>
      <w:r>
        <w:t xml:space="preserve"> ode dne </w:t>
      </w:r>
      <w:r w:rsidR="00185F12">
        <w:t>započetí každého měsíčního či ročního poplatkového období.</w:t>
      </w:r>
    </w:p>
    <w:p w14:paraId="2451C9B0" w14:textId="77777777" w:rsidR="00836B25" w:rsidRDefault="00836B25" w:rsidP="00836B25">
      <w:pPr>
        <w:pStyle w:val="Odstavecseseznamem"/>
        <w:numPr>
          <w:ilvl w:val="0"/>
          <w:numId w:val="18"/>
        </w:numPr>
        <w:ind w:left="284"/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7F9851F5" w14:textId="04113CAF" w:rsidR="00E1682F" w:rsidRPr="00E1682F" w:rsidRDefault="00E1682F" w:rsidP="00836B25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7</w:t>
      </w:r>
    </w:p>
    <w:p w14:paraId="118D182F" w14:textId="66E207F3" w:rsidR="00E1682F" w:rsidRPr="00E1682F" w:rsidRDefault="00185F12" w:rsidP="00E1682F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Osvobození </w:t>
      </w:r>
    </w:p>
    <w:p w14:paraId="560EF8E3" w14:textId="7D72397E" w:rsidR="00150601" w:rsidRDefault="00150601" w:rsidP="0024024A">
      <w:pPr>
        <w:pStyle w:val="Odstavecseseznamem"/>
        <w:numPr>
          <w:ilvl w:val="0"/>
          <w:numId w:val="20"/>
        </w:numPr>
        <w:ind w:left="426"/>
      </w:pPr>
      <w:r>
        <w:t>Poplatek se neplatí:</w:t>
      </w:r>
    </w:p>
    <w:p w14:paraId="176F0824" w14:textId="2214A4FA" w:rsidR="00150601" w:rsidRDefault="00150601" w:rsidP="0024024A">
      <w:pPr>
        <w:pStyle w:val="Odstavecseseznamem"/>
        <w:numPr>
          <w:ilvl w:val="1"/>
          <w:numId w:val="21"/>
        </w:numPr>
        <w:ind w:left="851"/>
      </w:pPr>
      <w:r>
        <w:t>za vyhrazení trvalého parkovacího místa pro osobu, která je držitelem průkazu ZTP nebo ZTP/P,</w:t>
      </w:r>
    </w:p>
    <w:p w14:paraId="1998013B" w14:textId="4DE3F896" w:rsidR="00150601" w:rsidRDefault="00150601" w:rsidP="0024024A">
      <w:pPr>
        <w:pStyle w:val="Odstavecseseznamem"/>
        <w:numPr>
          <w:ilvl w:val="1"/>
          <w:numId w:val="21"/>
        </w:numPr>
        <w:ind w:left="851"/>
      </w:pPr>
      <w:r>
        <w:t>z akcí pořádaných na veřejném prostranství, jejichž celý výtěžek je odveden na charitativní a veřejně prospěšné účely.</w:t>
      </w:r>
      <w:r w:rsidR="00AE49FB">
        <w:rPr>
          <w:rStyle w:val="Znakapoznpodarou"/>
        </w:rPr>
        <w:footnoteReference w:id="6"/>
      </w:r>
      <w:r>
        <w:t xml:space="preserve"> </w:t>
      </w:r>
    </w:p>
    <w:p w14:paraId="7773F817" w14:textId="4E31891A" w:rsidR="00150601" w:rsidRDefault="00150601" w:rsidP="0024024A">
      <w:pPr>
        <w:pStyle w:val="Odstavecseseznamem"/>
        <w:numPr>
          <w:ilvl w:val="0"/>
          <w:numId w:val="20"/>
        </w:numPr>
        <w:ind w:left="426"/>
      </w:pPr>
      <w:r>
        <w:t>Od poplatku se dále osvobozují:</w:t>
      </w:r>
    </w:p>
    <w:p w14:paraId="37018B62" w14:textId="1C56E1C3" w:rsidR="00150601" w:rsidRDefault="00150601" w:rsidP="0024024A">
      <w:pPr>
        <w:pStyle w:val="Odstavecseseznamem"/>
        <w:numPr>
          <w:ilvl w:val="1"/>
          <w:numId w:val="21"/>
        </w:numPr>
        <w:ind w:left="851"/>
      </w:pPr>
      <w:r>
        <w:t>užívání veřejných prostranství městem Lázně Bělohrad,</w:t>
      </w:r>
    </w:p>
    <w:p w14:paraId="514D0059" w14:textId="4C1FA9EA" w:rsidR="00150601" w:rsidRDefault="00150601" w:rsidP="0024024A">
      <w:pPr>
        <w:pStyle w:val="Odstavecseseznamem"/>
        <w:numPr>
          <w:ilvl w:val="1"/>
          <w:numId w:val="21"/>
        </w:numPr>
        <w:ind w:left="851"/>
      </w:pPr>
      <w:r>
        <w:t>užívání veřejných prostranství příspěvkovými organizacemi zřízenými městem Lázně Bělohrad,</w:t>
      </w:r>
    </w:p>
    <w:p w14:paraId="61D9C72D" w14:textId="77777777" w:rsidR="0024024A" w:rsidRDefault="00150601" w:rsidP="0024024A">
      <w:pPr>
        <w:pStyle w:val="Odstavecseseznamem"/>
        <w:numPr>
          <w:ilvl w:val="1"/>
          <w:numId w:val="21"/>
        </w:numPr>
        <w:ind w:left="851"/>
      </w:pPr>
      <w:r>
        <w:t>užívání veřejných prostranství organizacemi s vlastnickým podílem města Lázně Bělohrad,</w:t>
      </w:r>
    </w:p>
    <w:p w14:paraId="7837D7E8" w14:textId="3E31EE13" w:rsidR="00150601" w:rsidRDefault="00150601" w:rsidP="0024024A">
      <w:pPr>
        <w:pStyle w:val="Odstavecseseznamem"/>
        <w:numPr>
          <w:ilvl w:val="1"/>
          <w:numId w:val="21"/>
        </w:numPr>
        <w:ind w:left="851"/>
      </w:pPr>
      <w:r>
        <w:t>užívání veřejných prostranství z důvodu odstranění havárií inženýrských sítí po dobu nepřesahující 7 dnů,</w:t>
      </w:r>
    </w:p>
    <w:p w14:paraId="1162CE1A" w14:textId="21DAB283" w:rsidR="00150601" w:rsidRPr="002B119F" w:rsidRDefault="00150601" w:rsidP="0024024A">
      <w:pPr>
        <w:pStyle w:val="Odstavecseseznamem"/>
        <w:numPr>
          <w:ilvl w:val="1"/>
          <w:numId w:val="21"/>
        </w:numPr>
        <w:ind w:left="851"/>
      </w:pPr>
      <w:r>
        <w:t xml:space="preserve">umístění skládky v délce </w:t>
      </w:r>
      <w:r w:rsidRPr="002B119F">
        <w:t>do 48 hodin.</w:t>
      </w:r>
    </w:p>
    <w:p w14:paraId="5B497979" w14:textId="0C9362D0" w:rsidR="0024024A" w:rsidRDefault="00150601" w:rsidP="0024024A">
      <w:pPr>
        <w:pStyle w:val="Odstavecseseznamem"/>
        <w:numPr>
          <w:ilvl w:val="0"/>
          <w:numId w:val="20"/>
        </w:numPr>
        <w:ind w:left="426"/>
      </w:pPr>
      <w:r>
        <w:t>V případě, že poplatník nesplní povinnost ohlásit údaj ro</w:t>
      </w:r>
      <w:r w:rsidR="00185F12">
        <w:t>zhodný pro osvobození</w:t>
      </w:r>
      <w:r w:rsidR="00570AD0">
        <w:t xml:space="preserve"> </w:t>
      </w:r>
      <w:r>
        <w:t>ve lhůtách stanovených touto vyhláškou nebo zákonem</w:t>
      </w:r>
      <w:r w:rsidR="00185F12">
        <w:t xml:space="preserve">, nárok na </w:t>
      </w:r>
      <w:r w:rsidR="00570AD0">
        <w:t>osvobození zaniká</w:t>
      </w:r>
      <w:r>
        <w:t>.</w:t>
      </w:r>
      <w:r w:rsidR="00B33566">
        <w:rPr>
          <w:rStyle w:val="Znakapoznpodarou"/>
        </w:rPr>
        <w:footnoteReference w:id="7"/>
      </w:r>
    </w:p>
    <w:p w14:paraId="19F8AEEE" w14:textId="5E3CBDC8" w:rsidR="00E1682F" w:rsidRPr="00E1682F" w:rsidRDefault="00E1682F" w:rsidP="0024024A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8</w:t>
      </w:r>
    </w:p>
    <w:p w14:paraId="745BA28B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Přechodné a zrušovací ustanovení</w:t>
      </w:r>
    </w:p>
    <w:p w14:paraId="7A77B6A3" w14:textId="77777777" w:rsidR="00E1682F" w:rsidRPr="005B7A8F" w:rsidRDefault="00E1682F" w:rsidP="00E1682F">
      <w:pPr>
        <w:pStyle w:val="Normlnbezmezer"/>
        <w:numPr>
          <w:ilvl w:val="0"/>
          <w:numId w:val="11"/>
        </w:numPr>
        <w:spacing w:after="120"/>
        <w:ind w:left="426"/>
        <w:rPr>
          <w:szCs w:val="20"/>
        </w:rPr>
      </w:pPr>
      <w:r w:rsidRPr="005B7A8F">
        <w:rPr>
          <w:szCs w:val="20"/>
        </w:rPr>
        <w:t>Poplatkové povinnosti vzniklé před nabytím účinnosti této vyhlášky se posuzují podle dosavadních právních předpisů.</w:t>
      </w:r>
    </w:p>
    <w:p w14:paraId="5DA68D10" w14:textId="3470F16D" w:rsidR="00E1682F" w:rsidRPr="003F53A3" w:rsidRDefault="00E1682F" w:rsidP="00E1682F">
      <w:pPr>
        <w:pStyle w:val="Odstavecseseznamem"/>
        <w:numPr>
          <w:ilvl w:val="0"/>
          <w:numId w:val="11"/>
        </w:numPr>
        <w:spacing w:after="120"/>
        <w:ind w:left="426"/>
      </w:pPr>
      <w:r w:rsidRPr="003F53A3">
        <w:t xml:space="preserve">Zrušuje se obecně závazná vyhláška č. </w:t>
      </w:r>
      <w:r w:rsidR="00153476">
        <w:t>6</w:t>
      </w:r>
      <w:r w:rsidRPr="003F53A3">
        <w:t xml:space="preserve">/2021, o místním poplatku </w:t>
      </w:r>
      <w:r w:rsidR="007D09D9">
        <w:t>za užívání veřejného prostranství</w:t>
      </w:r>
      <w:r w:rsidRPr="003F53A3">
        <w:t>, ze dne</w:t>
      </w:r>
      <w:r w:rsidR="007D09D9">
        <w:t xml:space="preserve"> 3</w:t>
      </w:r>
      <w:r w:rsidRPr="003F53A3">
        <w:t xml:space="preserve">. </w:t>
      </w:r>
      <w:r w:rsidR="007D09D9">
        <w:t>listopadu</w:t>
      </w:r>
      <w:r w:rsidRPr="003F53A3">
        <w:t xml:space="preserve"> </w:t>
      </w:r>
      <w:r w:rsidRPr="00AE1B90">
        <w:t>2021.</w:t>
      </w:r>
    </w:p>
    <w:p w14:paraId="597E96C5" w14:textId="77777777" w:rsidR="00E1682F" w:rsidRPr="00E1682F" w:rsidRDefault="00E1682F" w:rsidP="00ED4A9F">
      <w:pPr>
        <w:pStyle w:val="Normlnbezmezer"/>
        <w:jc w:val="center"/>
        <w:rPr>
          <w:b/>
          <w:bCs/>
        </w:rPr>
      </w:pPr>
      <w:r w:rsidRPr="00E1682F">
        <w:rPr>
          <w:b/>
          <w:bCs/>
        </w:rPr>
        <w:t>Čl. 9</w:t>
      </w:r>
    </w:p>
    <w:p w14:paraId="686AFC59" w14:textId="77777777" w:rsidR="00E1682F" w:rsidRPr="00E1682F" w:rsidRDefault="00E1682F" w:rsidP="00E1682F">
      <w:pPr>
        <w:pStyle w:val="Normlnbezmezer"/>
        <w:spacing w:after="120"/>
        <w:jc w:val="center"/>
        <w:rPr>
          <w:b/>
          <w:bCs/>
        </w:rPr>
      </w:pPr>
      <w:r w:rsidRPr="00E1682F">
        <w:rPr>
          <w:b/>
          <w:bCs/>
        </w:rPr>
        <w:t>Účinnost</w:t>
      </w:r>
    </w:p>
    <w:p w14:paraId="6B5FDB0A" w14:textId="11AF8CCD" w:rsidR="00E1682F" w:rsidRPr="005B7A8F" w:rsidRDefault="00E1682F" w:rsidP="00E1682F">
      <w:pPr>
        <w:pStyle w:val="Normlnbezmezer"/>
        <w:spacing w:after="120"/>
        <w:rPr>
          <w:szCs w:val="20"/>
        </w:rPr>
      </w:pPr>
      <w:r w:rsidRPr="005B7A8F">
        <w:rPr>
          <w:szCs w:val="20"/>
        </w:rPr>
        <w:t xml:space="preserve">Tato vyhláška nabývá účinnosti dnem </w:t>
      </w:r>
      <w:r>
        <w:rPr>
          <w:szCs w:val="20"/>
        </w:rPr>
        <w:t>1.</w:t>
      </w:r>
      <w:r w:rsidR="00B33566">
        <w:rPr>
          <w:szCs w:val="20"/>
        </w:rPr>
        <w:t xml:space="preserve"> </w:t>
      </w:r>
      <w:r>
        <w:rPr>
          <w:szCs w:val="20"/>
        </w:rPr>
        <w:t>1.</w:t>
      </w:r>
      <w:r w:rsidR="00B33566">
        <w:rPr>
          <w:szCs w:val="20"/>
        </w:rPr>
        <w:t xml:space="preserve"> </w:t>
      </w:r>
      <w:r>
        <w:rPr>
          <w:szCs w:val="20"/>
        </w:rPr>
        <w:t>2024</w:t>
      </w:r>
      <w:r w:rsidR="00060663">
        <w:rPr>
          <w:szCs w:val="20"/>
        </w:rPr>
        <w:t>.</w:t>
      </w:r>
    </w:p>
    <w:p w14:paraId="6F509627" w14:textId="79DF1D3C" w:rsidR="004040BD" w:rsidRDefault="004040BD" w:rsidP="00E8256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4108"/>
      </w:tblGrid>
      <w:tr w:rsidR="00E1682F" w14:paraId="529A6512" w14:textId="77777777" w:rsidTr="00E1682F">
        <w:tc>
          <w:tcPr>
            <w:tcW w:w="4111" w:type="dxa"/>
            <w:tcBorders>
              <w:bottom w:val="single" w:sz="4" w:space="0" w:color="auto"/>
            </w:tcBorders>
          </w:tcPr>
          <w:p w14:paraId="019D3D33" w14:textId="77777777" w:rsidR="00E1682F" w:rsidRDefault="00E1682F" w:rsidP="001D3AA5"/>
        </w:tc>
        <w:tc>
          <w:tcPr>
            <w:tcW w:w="1418" w:type="dxa"/>
          </w:tcPr>
          <w:p w14:paraId="158EBB0E" w14:textId="77777777" w:rsidR="00E1682F" w:rsidRDefault="00E1682F" w:rsidP="003B4136">
            <w:pPr>
              <w:jc w:val="center"/>
            </w:pP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084177B7" w14:textId="7073624B" w:rsidR="00E1682F" w:rsidRDefault="00E1682F" w:rsidP="003B4136">
            <w:pPr>
              <w:jc w:val="center"/>
            </w:pPr>
          </w:p>
        </w:tc>
      </w:tr>
      <w:tr w:rsidR="00E1682F" w14:paraId="6C4802AD" w14:textId="77777777" w:rsidTr="00E1682F">
        <w:tc>
          <w:tcPr>
            <w:tcW w:w="4111" w:type="dxa"/>
            <w:tcBorders>
              <w:top w:val="single" w:sz="4" w:space="0" w:color="auto"/>
            </w:tcBorders>
          </w:tcPr>
          <w:p w14:paraId="226ACADA" w14:textId="707701B4" w:rsidR="00E1682F" w:rsidRDefault="00E1682F" w:rsidP="00E1682F">
            <w:pPr>
              <w:jc w:val="center"/>
            </w:pPr>
            <w:r>
              <w:t>Alena Kuželová, DiS., v.</w:t>
            </w:r>
            <w:r w:rsidR="00BB0AFE">
              <w:t xml:space="preserve"> </w:t>
            </w:r>
            <w:r>
              <w:t>r.</w:t>
            </w:r>
          </w:p>
          <w:p w14:paraId="082454B9" w14:textId="0DA12397" w:rsidR="00E1682F" w:rsidRDefault="00E1682F" w:rsidP="00E1682F">
            <w:pPr>
              <w:jc w:val="center"/>
            </w:pPr>
            <w:r>
              <w:t>starostka</w:t>
            </w:r>
          </w:p>
        </w:tc>
        <w:tc>
          <w:tcPr>
            <w:tcW w:w="1418" w:type="dxa"/>
          </w:tcPr>
          <w:p w14:paraId="7399D89A" w14:textId="77777777" w:rsidR="00E1682F" w:rsidRDefault="00E1682F" w:rsidP="002879E0">
            <w:pPr>
              <w:pStyle w:val="Normlnbezmezer"/>
              <w:jc w:val="center"/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4D2EBA9" w14:textId="078845A1" w:rsidR="00E1682F" w:rsidRDefault="00BB0AFE" w:rsidP="002879E0">
            <w:pPr>
              <w:pStyle w:val="Normlnbezmezer"/>
              <w:jc w:val="center"/>
            </w:pPr>
            <w:r>
              <w:t xml:space="preserve">Jiří </w:t>
            </w:r>
            <w:r w:rsidR="00570AD0">
              <w:t>Bičiště v.</w:t>
            </w:r>
            <w:r>
              <w:t xml:space="preserve"> </w:t>
            </w:r>
            <w:r w:rsidR="00E1682F">
              <w:t>r.</w:t>
            </w:r>
          </w:p>
          <w:p w14:paraId="5AA7A3E9" w14:textId="2D6CE1EF" w:rsidR="00E1682F" w:rsidRPr="00BD0EEC" w:rsidRDefault="00E1682F" w:rsidP="002879E0">
            <w:pPr>
              <w:pStyle w:val="Normlnbezmezer"/>
              <w:jc w:val="center"/>
            </w:pPr>
            <w:r>
              <w:t>místostarosta</w:t>
            </w:r>
          </w:p>
        </w:tc>
      </w:tr>
    </w:tbl>
    <w:p w14:paraId="4E9C3A4F" w14:textId="77777777" w:rsidR="00A22E5A" w:rsidRDefault="00A22E5A" w:rsidP="00A22E5A"/>
    <w:p w14:paraId="5A75C7B5" w14:textId="66DB3EAE" w:rsidR="00A22E5A" w:rsidRDefault="00A22E5A" w:rsidP="00A22E5A"/>
    <w:p w14:paraId="73B48B61" w14:textId="77777777" w:rsidR="005C6FC7" w:rsidRDefault="005C6FC7" w:rsidP="00A22E5A"/>
    <w:p w14:paraId="5E9EB938" w14:textId="77777777" w:rsidR="005C6FC7" w:rsidRDefault="005C6FC7" w:rsidP="00A22E5A"/>
    <w:p w14:paraId="1AC611A5" w14:textId="77777777" w:rsidR="005C6FC7" w:rsidRDefault="005C6FC7" w:rsidP="00A22E5A"/>
    <w:p w14:paraId="74A90FE7" w14:textId="77777777" w:rsidR="005C6FC7" w:rsidRDefault="005C6FC7" w:rsidP="00A22E5A"/>
    <w:p w14:paraId="255FB27F" w14:textId="77777777" w:rsidR="005C6FC7" w:rsidRDefault="005C6FC7" w:rsidP="00A22E5A"/>
    <w:p w14:paraId="79221C62" w14:textId="77777777" w:rsidR="005C6FC7" w:rsidRDefault="005C6FC7" w:rsidP="00A22E5A"/>
    <w:p w14:paraId="0ADF15E2" w14:textId="77777777" w:rsidR="005C6FC7" w:rsidRPr="00C31928" w:rsidRDefault="005C6FC7" w:rsidP="005C6FC7">
      <w:pPr>
        <w:pStyle w:val="Bezmezer"/>
        <w:jc w:val="center"/>
        <w:rPr>
          <w:b/>
          <w:bCs/>
          <w:sz w:val="40"/>
          <w:szCs w:val="40"/>
        </w:rPr>
      </w:pPr>
      <w:r w:rsidRPr="00C31928">
        <w:rPr>
          <w:b/>
          <w:bCs/>
          <w:sz w:val="40"/>
          <w:szCs w:val="40"/>
        </w:rPr>
        <w:t>PŘÍLOHA č. 1</w:t>
      </w:r>
    </w:p>
    <w:p w14:paraId="2B573EB8" w14:textId="77777777" w:rsidR="005C6FC7" w:rsidRDefault="005C6FC7" w:rsidP="005C6FC7">
      <w:pPr>
        <w:pStyle w:val="Bezmezer"/>
        <w:jc w:val="center"/>
        <w:rPr>
          <w:sz w:val="40"/>
          <w:szCs w:val="40"/>
        </w:rPr>
      </w:pPr>
      <w:r w:rsidRPr="00C31928">
        <w:rPr>
          <w:b/>
          <w:bCs/>
          <w:sz w:val="40"/>
          <w:szCs w:val="40"/>
        </w:rPr>
        <w:t>k OBECNĚ ZÁVÁZNÉ VYHLÁŠCE</w:t>
      </w:r>
      <w:r w:rsidRPr="0033197F">
        <w:rPr>
          <w:sz w:val="40"/>
          <w:szCs w:val="40"/>
        </w:rPr>
        <w:t>,</w:t>
      </w:r>
    </w:p>
    <w:p w14:paraId="4D0DD47C" w14:textId="77777777" w:rsidR="005C6FC7" w:rsidRPr="00C31928" w:rsidRDefault="005C6FC7" w:rsidP="005C6FC7">
      <w:pPr>
        <w:pStyle w:val="Bezmezer"/>
        <w:jc w:val="center"/>
        <w:rPr>
          <w:b/>
          <w:bCs/>
          <w:sz w:val="28"/>
          <w:szCs w:val="28"/>
        </w:rPr>
      </w:pPr>
      <w:r w:rsidRPr="00C31928">
        <w:rPr>
          <w:b/>
          <w:bCs/>
          <w:sz w:val="28"/>
          <w:szCs w:val="28"/>
        </w:rPr>
        <w:t>o místním poplatku za užívání veřejného prostranství</w:t>
      </w:r>
    </w:p>
    <w:p w14:paraId="269D895E" w14:textId="77777777" w:rsidR="005C6FC7" w:rsidRDefault="005C6FC7" w:rsidP="005C6FC7">
      <w:pPr>
        <w:pStyle w:val="Bezmezer"/>
        <w:jc w:val="center"/>
        <w:rPr>
          <w:b/>
          <w:bCs/>
          <w:sz w:val="26"/>
          <w:szCs w:val="26"/>
        </w:rPr>
      </w:pPr>
    </w:p>
    <w:p w14:paraId="04AB9958" w14:textId="77777777" w:rsidR="005C6FC7" w:rsidRPr="001A49D3" w:rsidRDefault="005C6FC7" w:rsidP="005C6FC7">
      <w:pPr>
        <w:pStyle w:val="Bezmezer"/>
        <w:jc w:val="center"/>
        <w:rPr>
          <w:b/>
          <w:bCs/>
          <w:sz w:val="26"/>
          <w:szCs w:val="26"/>
        </w:rPr>
      </w:pPr>
    </w:p>
    <w:p w14:paraId="46266F4E" w14:textId="77777777" w:rsidR="005C6FC7" w:rsidRPr="00C31928" w:rsidRDefault="005C6FC7" w:rsidP="005C6FC7">
      <w:pPr>
        <w:jc w:val="center"/>
        <w:rPr>
          <w:b/>
          <w:bCs/>
          <w:sz w:val="40"/>
          <w:szCs w:val="40"/>
        </w:rPr>
      </w:pPr>
      <w:r w:rsidRPr="00C31928">
        <w:rPr>
          <w:b/>
          <w:bCs/>
          <w:sz w:val="40"/>
          <w:szCs w:val="40"/>
        </w:rPr>
        <w:t>VEŘEJNÁ PROSTRANSTVÍ</w:t>
      </w:r>
    </w:p>
    <w:p w14:paraId="4B88CEDD" w14:textId="77777777" w:rsidR="005C6FC7" w:rsidRPr="005D4B4E" w:rsidRDefault="005C6FC7" w:rsidP="005C6FC7">
      <w:pPr>
        <w:jc w:val="center"/>
        <w:rPr>
          <w:b/>
          <w:bCs/>
          <w:szCs w:val="20"/>
        </w:rPr>
      </w:pPr>
    </w:p>
    <w:p w14:paraId="5A74D1B8" w14:textId="77777777" w:rsidR="005C6FC7" w:rsidRPr="00C31928" w:rsidRDefault="005C6FC7" w:rsidP="005C6FC7">
      <w:pPr>
        <w:rPr>
          <w:b/>
          <w:bCs/>
          <w:sz w:val="26"/>
          <w:szCs w:val="26"/>
        </w:rPr>
      </w:pPr>
      <w:r w:rsidRPr="00C31928">
        <w:rPr>
          <w:b/>
          <w:bCs/>
          <w:sz w:val="26"/>
          <w:szCs w:val="26"/>
        </w:rPr>
        <w:t>Katastrální území: Lázně Bělohrad</w:t>
      </w:r>
    </w:p>
    <w:p w14:paraId="4E9E6D17" w14:textId="77777777" w:rsidR="005C6FC7" w:rsidRPr="007814AC" w:rsidRDefault="005C6FC7" w:rsidP="005C6FC7">
      <w:pPr>
        <w:rPr>
          <w:b/>
          <w:bCs/>
        </w:rPr>
      </w:pPr>
      <w:r w:rsidRPr="007814AC">
        <w:rPr>
          <w:b/>
          <w:bCs/>
        </w:rPr>
        <w:t>Stavební parcely č.:</w:t>
      </w:r>
    </w:p>
    <w:p w14:paraId="2ECBDEC1" w14:textId="77777777" w:rsidR="005C6FC7" w:rsidRDefault="005C6FC7" w:rsidP="005C6FC7">
      <w:r w:rsidRPr="00F42209">
        <w:t>1/2, 1/3, 1/4, 3/3, 10/2, 10/3, 71, 102/3, 134/1, 179/1, 179/2, 192/12, 193/1, 193/2, 371</w:t>
      </w:r>
      <w:r>
        <w:t>.</w:t>
      </w:r>
    </w:p>
    <w:p w14:paraId="5E2D4BF5" w14:textId="77777777" w:rsidR="005C6FC7" w:rsidRPr="007814AC" w:rsidRDefault="005C6FC7" w:rsidP="005C6FC7">
      <w:pPr>
        <w:rPr>
          <w:b/>
          <w:bCs/>
        </w:rPr>
      </w:pPr>
      <w:r w:rsidRPr="007814AC">
        <w:rPr>
          <w:b/>
          <w:bCs/>
        </w:rPr>
        <w:t>Pozemkové parcely č.:</w:t>
      </w:r>
    </w:p>
    <w:p w14:paraId="0AC7D88A" w14:textId="77777777" w:rsidR="005C6FC7" w:rsidRDefault="005C6FC7" w:rsidP="005C6FC7">
      <w:r w:rsidRPr="00F42209">
        <w:t>1/1, 1/2, 1/3, 4, 5/2, 15/1, 15/7, 15/19, 16/4, 16/6, 18/6, 29, 31, 56/1, 57/1, 72, 77, 87/1, 87/2, 98/3, 98/7, 104/3, 107, 125, 130/1, 130/10, 130/11, 137/1, 138/10, 142/1, 142/4, 149/4, 149/5, 149/6, 149/7, 149/8, 149/9, 149/10, 149/11, 165/1, 170/5, 174/8, 186/3, 192/8, 192/10, 192/11, 192/14, 193/2, 193/3, 193/4, 193/5, 194/8, 194/15, 196/6, 198/1, 198/2, 199/7, 199/10, 199/33, 199/37, 199/53, 199/54, 200/1, 200/3, 204/1, 209/5, 209/14, 209/15, 209/16, 210/1, 210/2, 210/4, 210/7, 212/1, 213/2, 214/1, 215, 216/8, 216/17, 220/2, 233/10, 234/3, 235/1, 239/2, 246/1, 246/2, 246/17, 246/21, 246/49, 246/66, 246/82, 246/83, 246/86, 246/88, 246/94, 246/96, 246/103, 246/104, 246/105, 246/117, 246/120, 246/121, 246/122, 246/129, 251/1, 251/2, 251/3, 254/1, 254/2, 254/3, 257/1, 257/2, 257/3, 258, 261, 272/1, 272/11, 272/18, 272/34, 272/35, 277/3, 277/4, 277/5, 277/6, 277/12, 277/13, 277/17, 279/1, 279/2, 279/3, 279/4, 279/5, 279/6, 279/7, 280/4, 281/2, 281/41, 281/42, 281/43, 282/4, 282/12, 286/1, 290/1, 290/2, 290/32, 290/47, 290/49, 290/50, 300/9, 300/10, 390/1, 558/11, 560/5, 560/34, 560/36, 562/47, 562/48, 562/49, 562/83, 562/84, 562/92, 562/94, 562/95, 562/96, 562/98, 562/105, 562/109, 562/110, 562/114, 562/115, 562/118, 562/119, 562/120, 562/122, 562/168, 562/194, 562/195, 562/197, 562/200, 563/14, 563/19, 564/2, 564/5, 569/2, 569/5, 569/14, 569/15, 570, 570/2, 570/3, 570/4, 570/5, 570/6, 570/7, 570/8, 570/9, 571/1, 572, 574, 575/1, 575/3, 575/4, 579/1, 579/2, 579/3, 579/4, 580, 581/2, 581/4, 585/1, 585/2, 585/3, 588, 589/7, 590, 591, 592, 593/1, 593/2, 593/3, 593/4, 595, 597/1, 598, 600/1, 600/2, 600/3, 600/4, 600/5, 600/6, 600/7, 601, 603, 603/2, 604/1, 604/3, 604/4, 604/5, 605/1, 606, 608, 609/1, 609/5, 610/1, 612/2, 612/3, 613, 616/2, 616/5, 617, 621/1, 623, 630/1, 630/2, 630/4, 630/5, 630/6, 630/7, 630/8, 630/9, 630/10, 630/11, 630/12, 630/13, 630/14, 630/17, 637/1, 637/2, 644/1, 650, 655/1, 655/2, 655/3, 656/1, 656/2, 656/3, 657/4, 658/2, 658/3, 659, 699, 702</w:t>
      </w:r>
      <w:r>
        <w:t xml:space="preserve">. </w:t>
      </w:r>
    </w:p>
    <w:p w14:paraId="2FCAD424" w14:textId="77777777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t>Katastrální území: Horní Nová Ves</w:t>
      </w:r>
    </w:p>
    <w:p w14:paraId="133930CA" w14:textId="77777777" w:rsidR="005C6FC7" w:rsidRPr="007814AC" w:rsidRDefault="005C6FC7" w:rsidP="005C6FC7">
      <w:pPr>
        <w:rPr>
          <w:b/>
          <w:bCs/>
        </w:rPr>
      </w:pPr>
      <w:r w:rsidRPr="007814AC">
        <w:rPr>
          <w:b/>
          <w:bCs/>
        </w:rPr>
        <w:t>Pozemkové parcely č.:</w:t>
      </w:r>
    </w:p>
    <w:p w14:paraId="14116258" w14:textId="77777777" w:rsidR="005C6FC7" w:rsidRDefault="005C6FC7" w:rsidP="005C6FC7">
      <w:r w:rsidRPr="00B20B5D">
        <w:t xml:space="preserve">9/1, 11, 12/5, 14/1, 14/4, 14/5, 14/6, 15/1, 15/2, 15/3, 18, 19/6, 19/7, 20/2, 24/1, 24/2, 24/3, 24/6, 31/1, 31/7, 44/1, 45/1, 47/1, 47/4, 49/1, 50, 51/1, 51/11, 51/12, 83/2, 98, 108, 110, 111, 112, 114/3, 117/3, 122/1, 141/1, 143, 153, 408/1, 408/2, 475/4, 578/4, 578/5, 578/9, 763/6, 976/1, 976/2, 976/3, 976/4, 976/5, 1251/1, 1252/16, 1258/3, 1260/11, 1263/3, 1263/13, 1263/29, 1266/1, 1266/2, 1266/3, 1266/4, 1266/5, 1266/6, 1293/2, 1293/3, 1293/4, 1315/2, 1315/3, 1315/4, 1315/5, 1365/1, 1365/3, 1404/2, 1404/14, 1404/16, 1404/17, 1404/18, 1404/19, 1408, 1410, 1412/1, 1412/3, 1412/4, 1413/1, 1413/2, 1413/8, 1413/12, 1417/9, 1430/1, 1432/1, 1432/3, 1443, 1450/2, 1451/1, 1452/2, 1463/2, 1463/3, 1463/5, 1463/6, 1463/7, 1463/9, </w:t>
      </w:r>
      <w:r w:rsidRPr="00B20B5D">
        <w:lastRenderedPageBreak/>
        <w:t>1463/10, 1464/1, 1464/2, 1466, 1467, 1468/4, 1469/1, 1477/1, 1477/2, 1477/4, 1477/7, 1477/8, 1477/9, 1478, 1479/2, 1480, 1489, 1530/1, 1560, 1568/1, 1570/2, 1570/3, 1570/4, 1577/2, 1580</w:t>
      </w:r>
      <w:r>
        <w:t>.</w:t>
      </w:r>
    </w:p>
    <w:p w14:paraId="79F67CD8" w14:textId="77777777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t>Katastrální území: Dolní Nová Ves</w:t>
      </w:r>
    </w:p>
    <w:p w14:paraId="00205120" w14:textId="77777777" w:rsidR="005C6FC7" w:rsidRPr="007814AC" w:rsidRDefault="005C6FC7" w:rsidP="005C6FC7">
      <w:pPr>
        <w:rPr>
          <w:b/>
          <w:bCs/>
        </w:rPr>
      </w:pPr>
      <w:r w:rsidRPr="007814AC">
        <w:rPr>
          <w:b/>
          <w:bCs/>
        </w:rPr>
        <w:t>Pozemkové parcely č.:</w:t>
      </w:r>
    </w:p>
    <w:p w14:paraId="72D4E667" w14:textId="77777777" w:rsidR="005C6FC7" w:rsidRDefault="005C6FC7" w:rsidP="005C6FC7">
      <w:r w:rsidRPr="004A2B34">
        <w:t>1/1, 1/2, 11/2, 11/3, 11/11, 32/7, 39/258, 44/12, 44/27, 44/28, 44/29, 44/30, 44/35, 57/2, 57/8, 57/9, 57/15, 85/1, 86/2, 86/12, 86/13, 86/15, 86/16, 89/1, 124/4, 124/16, 124/17, 137/2, 139/1, 141/18, 141/19, 149/3, 149/5, 149/6, 149/7, 246/2, 247/1, 247/2, 247/3, 248, 249/2, 249/9, 250, 251/1, 251/2, 251/3, 261/2, 261/7, 263/3, 263/5, 272/1, 272/5, 272/6, 272/7, 272/8, 273/2, 273/3, 273/5, 275/1, 275/2, 275/3, 275/4, 275/5, 275/7, 278, 279, 280, 299, 300, 301, 303</w:t>
      </w:r>
      <w:r>
        <w:t>.</w:t>
      </w:r>
    </w:p>
    <w:p w14:paraId="6C97FCF2" w14:textId="77777777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t>Katastrální území: Prostřední Nová Ves</w:t>
      </w:r>
    </w:p>
    <w:p w14:paraId="1DCFBDFC" w14:textId="77777777" w:rsidR="005C6FC7" w:rsidRPr="007814AC" w:rsidRDefault="005C6FC7" w:rsidP="005C6FC7">
      <w:pPr>
        <w:rPr>
          <w:b/>
          <w:bCs/>
        </w:rPr>
      </w:pPr>
      <w:r w:rsidRPr="007814AC">
        <w:rPr>
          <w:b/>
          <w:bCs/>
        </w:rPr>
        <w:t>Stavební parcela č.:</w:t>
      </w:r>
    </w:p>
    <w:p w14:paraId="45B83FF1" w14:textId="77777777" w:rsidR="005C6FC7" w:rsidRDefault="005C6FC7" w:rsidP="005C6FC7">
      <w:r>
        <w:t>2.</w:t>
      </w:r>
    </w:p>
    <w:p w14:paraId="4879E0C2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>Pozemkové parcely č.:</w:t>
      </w:r>
    </w:p>
    <w:p w14:paraId="06B05503" w14:textId="77777777" w:rsidR="005C6FC7" w:rsidRDefault="005C6FC7" w:rsidP="005C6FC7">
      <w:r w:rsidRPr="00595149">
        <w:t>3/3, 4/1, 4/2, 4/4, 4/28, 4/32, 4/42, 7, 16/5, 78/2, 78/3, 78/6, 78/15, 78/29, 78/30, 79/1, 79/5, 83/2, 84/1, 108/2, 112/8, 113, 118/20, 128, 129, 131, 425, 428, 429/1, 429/2, 430, 432/1, 433, 434/1, 434/2, 434/3, 434/4, 434/5, 434/6, 434/7, 434/8, 434/9, 434/10, 439/1, 439/4, 439/5, 439/6, 439/7, 439/8, 439/9, 439/10, 439/11, 439/12, 439/13, 439/14, 439/15, 440, 446/2, 448/2, 462/1, 462/3, 492/2, 503, 595</w:t>
      </w:r>
      <w:r>
        <w:t>.</w:t>
      </w:r>
    </w:p>
    <w:p w14:paraId="35BA0219" w14:textId="77777777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t xml:space="preserve">Katastrální území: </w:t>
      </w:r>
      <w:proofErr w:type="spellStart"/>
      <w:r w:rsidRPr="00AF3C7D">
        <w:rPr>
          <w:b/>
          <w:bCs/>
          <w:sz w:val="26"/>
          <w:szCs w:val="26"/>
        </w:rPr>
        <w:t>Brtev</w:t>
      </w:r>
      <w:proofErr w:type="spellEnd"/>
    </w:p>
    <w:p w14:paraId="3BEF40CA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>Stavební parcely č.:</w:t>
      </w:r>
    </w:p>
    <w:p w14:paraId="649558B3" w14:textId="77777777" w:rsidR="005C6FC7" w:rsidRDefault="005C6FC7" w:rsidP="005C6FC7">
      <w:r>
        <w:t>5, 117.</w:t>
      </w:r>
    </w:p>
    <w:p w14:paraId="5078CAA1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 xml:space="preserve">Pozemkové parcely: </w:t>
      </w:r>
    </w:p>
    <w:p w14:paraId="45026924" w14:textId="77777777" w:rsidR="005C6FC7" w:rsidRDefault="005C6FC7" w:rsidP="005C6FC7">
      <w:r w:rsidRPr="00DA29F9">
        <w:t>112/2, 113, 114, 115/1, 121, 123, 124, 124/1, 135, 136/1, 136/2, 136/3, 140/1, 140/3, 140/4, 140/7, 140/8, 140/9, 248/3, 393/5, 413/1, 414/1, 414/3, 415/1, 415/2, 416/3, 428/3, 438/9, 476/2, 476/3, 476/4, 476/5, 476/6, 476/7, 476/8, 476/9, 481/28, 505, 506/1, 506/2, 507/4, 507/65, 507/66, 507/67, 507/70, 507/71, 507/72, 507/73, 507/75, 521/2, 536/2, 662, 664/2, 665/13, 665/17, 665/18, 672/5, 687/9, 688/9, 688/15, 689/1, 689/2, 689/3, 711/3, 712/2, 712/3, 712/4, 712/5, 712/6, 712/7, 712/8, 713/2, 713/3, 713/5, 713/6, 713/7, 713/8, 714, 715/5, 721, 724, 725/1, 734, 735, 745, 748, 748/1, 750/1, 750/3, 752/1, 759/2, 759/7, 759/8, 759/9, 759/10, 759/16, 759/17, 760/2, 760/3, 761/1, 761/2, 761/3, 761/4, 761/5, 761/6, 761/7, 761/8, 761/9, 761/10, 761/11, 761/12, 761/13, 761/14, 761/17, 761/18, 762/1, 762/2, 762/3, 763/1, 763/4, 763/5, 763/6, 763/7, 765/9, 769/2, 769/4, 769/5, 770/2, 772/1, 774/1, 775/3, 776, 777/3, 778/1, 778/2, 778/3, 778/4, 785/1</w:t>
      </w:r>
      <w:r>
        <w:t>.</w:t>
      </w:r>
    </w:p>
    <w:p w14:paraId="08885E14" w14:textId="77777777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t>Katastrální území: Dolní Javoří</w:t>
      </w:r>
    </w:p>
    <w:p w14:paraId="728DCA21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>Pozemkové parcely č.:</w:t>
      </w:r>
    </w:p>
    <w:p w14:paraId="44903BEA" w14:textId="77777777" w:rsidR="005C6FC7" w:rsidRDefault="005C6FC7" w:rsidP="005C6FC7">
      <w:r w:rsidRPr="001162B6">
        <w:t>2/1, 194/1, 194/2, 194/4, 198/2, 258/1, 260/1, 260/3, 264/2, 268/1, 268/2, 272/1, 272/2, 279/3, 280, 281, 283, 284, 288/1, 301/1, 301/2, 301/4</w:t>
      </w:r>
      <w:r>
        <w:t>.</w:t>
      </w:r>
    </w:p>
    <w:p w14:paraId="3DCEECBA" w14:textId="77777777" w:rsidR="00AE1B90" w:rsidRDefault="00AE1B90" w:rsidP="005C6FC7">
      <w:pPr>
        <w:rPr>
          <w:b/>
          <w:bCs/>
          <w:sz w:val="26"/>
          <w:szCs w:val="26"/>
        </w:rPr>
      </w:pPr>
    </w:p>
    <w:p w14:paraId="6233E448" w14:textId="77777777" w:rsidR="00AE1B90" w:rsidRDefault="00AE1B90" w:rsidP="005C6FC7">
      <w:pPr>
        <w:rPr>
          <w:b/>
          <w:bCs/>
          <w:sz w:val="26"/>
          <w:szCs w:val="26"/>
        </w:rPr>
      </w:pPr>
    </w:p>
    <w:p w14:paraId="7FC48CFD" w14:textId="77777777" w:rsidR="00AE1B90" w:rsidRDefault="00AE1B90" w:rsidP="005C6FC7">
      <w:pPr>
        <w:rPr>
          <w:b/>
          <w:bCs/>
          <w:sz w:val="26"/>
          <w:szCs w:val="26"/>
        </w:rPr>
      </w:pPr>
    </w:p>
    <w:p w14:paraId="6C575772" w14:textId="7BC99776" w:rsidR="005C6FC7" w:rsidRPr="00AF3C7D" w:rsidRDefault="005C6FC7" w:rsidP="005C6FC7">
      <w:pPr>
        <w:rPr>
          <w:b/>
          <w:bCs/>
          <w:sz w:val="26"/>
          <w:szCs w:val="26"/>
        </w:rPr>
      </w:pPr>
      <w:r w:rsidRPr="00AF3C7D">
        <w:rPr>
          <w:b/>
          <w:bCs/>
          <w:sz w:val="26"/>
          <w:szCs w:val="26"/>
        </w:rPr>
        <w:lastRenderedPageBreak/>
        <w:t xml:space="preserve">Katastrální území: </w:t>
      </w:r>
      <w:proofErr w:type="spellStart"/>
      <w:r w:rsidRPr="00AF3C7D">
        <w:rPr>
          <w:b/>
          <w:bCs/>
          <w:sz w:val="26"/>
          <w:szCs w:val="26"/>
        </w:rPr>
        <w:t>Hřídelec</w:t>
      </w:r>
      <w:proofErr w:type="spellEnd"/>
    </w:p>
    <w:p w14:paraId="6DC2AFA4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 xml:space="preserve">Pozemkové parcely č.: </w:t>
      </w:r>
    </w:p>
    <w:p w14:paraId="60D910E6" w14:textId="77777777" w:rsidR="005C6FC7" w:rsidRDefault="005C6FC7" w:rsidP="005C6FC7">
      <w:r w:rsidRPr="00501A76">
        <w:t>1, 16, 26, 34/1, 34/11, 34/12, 34/13, 34/22, 34/23, 42, 72/1, 72/2, 72/3, 72/4, 72/8, 72/9, 73/4, 73/5, 74/2, 80/5, 274/3, 297/2, 304, 332/2, 334, 507/1, 513, 514/1, 515/1, 526/1, 526/2, 529, 533/1, 534, 536, 538/1, 538/2, 538/3, 547/1, 547/2</w:t>
      </w:r>
      <w:r>
        <w:t>.</w:t>
      </w:r>
    </w:p>
    <w:p w14:paraId="026A3E2C" w14:textId="77777777" w:rsidR="005C6FC7" w:rsidRPr="00C21B19" w:rsidRDefault="005C6FC7" w:rsidP="005C6FC7">
      <w:pPr>
        <w:rPr>
          <w:b/>
          <w:bCs/>
          <w:sz w:val="26"/>
          <w:szCs w:val="26"/>
        </w:rPr>
      </w:pPr>
      <w:r w:rsidRPr="00C21B19">
        <w:rPr>
          <w:b/>
          <w:bCs/>
          <w:sz w:val="26"/>
          <w:szCs w:val="26"/>
        </w:rPr>
        <w:t>Katastrální území: Lány</w:t>
      </w:r>
    </w:p>
    <w:p w14:paraId="40DFBFB4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>Stavební parcela č.:</w:t>
      </w:r>
    </w:p>
    <w:p w14:paraId="62CA2C31" w14:textId="77777777" w:rsidR="005C6FC7" w:rsidRDefault="005C6FC7" w:rsidP="005C6FC7">
      <w:r>
        <w:t>40.</w:t>
      </w:r>
    </w:p>
    <w:p w14:paraId="010E2F71" w14:textId="77777777" w:rsidR="005C6FC7" w:rsidRPr="00C7761D" w:rsidRDefault="005C6FC7" w:rsidP="005C6FC7">
      <w:pPr>
        <w:rPr>
          <w:b/>
          <w:bCs/>
        </w:rPr>
      </w:pPr>
      <w:r w:rsidRPr="00C7761D">
        <w:rPr>
          <w:b/>
          <w:bCs/>
        </w:rPr>
        <w:t>Pozemkové parcely č.:</w:t>
      </w:r>
    </w:p>
    <w:p w14:paraId="183EBB26" w14:textId="77777777" w:rsidR="005C6FC7" w:rsidRDefault="005C6FC7" w:rsidP="005C6FC7">
      <w:r w:rsidRPr="006B4F98">
        <w:t>27/3, 37, 263/4, 338/1, 340/6, 341/1, 341/2, 342/1, 343/2, 343/7, 349/2, 349/3, 353, 354, 355/1, 355/2, 356/1, 356/2, 357, 358/1, 359, 360/1, 360/2, 360/3, 364, 450, 459, 466, 469/1, 519/18, 535, 536, 539, 541, 542, 543, 544, 555, 556, 619/1, 619/3.</w:t>
      </w:r>
    </w:p>
    <w:p w14:paraId="399E6404" w14:textId="77777777" w:rsidR="005C6FC7" w:rsidRPr="00C21B19" w:rsidRDefault="005C6FC7" w:rsidP="005C6FC7">
      <w:pPr>
        <w:rPr>
          <w:b/>
          <w:bCs/>
          <w:sz w:val="26"/>
          <w:szCs w:val="26"/>
        </w:rPr>
      </w:pPr>
      <w:r w:rsidRPr="00C21B19">
        <w:rPr>
          <w:b/>
          <w:bCs/>
          <w:sz w:val="26"/>
          <w:szCs w:val="26"/>
        </w:rPr>
        <w:t>Katastrální území: Uhlíře</w:t>
      </w:r>
    </w:p>
    <w:p w14:paraId="0C6FD02D" w14:textId="77777777" w:rsidR="005C6FC7" w:rsidRPr="000D0EA1" w:rsidRDefault="005C6FC7" w:rsidP="005C6FC7">
      <w:pPr>
        <w:rPr>
          <w:b/>
          <w:bCs/>
        </w:rPr>
      </w:pPr>
      <w:r w:rsidRPr="000D0EA1">
        <w:rPr>
          <w:b/>
          <w:bCs/>
        </w:rPr>
        <w:t>Stavební parcela č.:</w:t>
      </w:r>
    </w:p>
    <w:p w14:paraId="3891FA8E" w14:textId="77777777" w:rsidR="005C6FC7" w:rsidRDefault="005C6FC7" w:rsidP="005C6FC7">
      <w:r>
        <w:t>10.</w:t>
      </w:r>
    </w:p>
    <w:p w14:paraId="5345F9DE" w14:textId="77777777" w:rsidR="005C6FC7" w:rsidRPr="000D0EA1" w:rsidRDefault="005C6FC7" w:rsidP="005C6FC7">
      <w:pPr>
        <w:rPr>
          <w:b/>
          <w:bCs/>
        </w:rPr>
      </w:pPr>
      <w:r w:rsidRPr="000D0EA1">
        <w:rPr>
          <w:b/>
          <w:bCs/>
        </w:rPr>
        <w:t>Pozemkové parcely č.:</w:t>
      </w:r>
    </w:p>
    <w:p w14:paraId="3E8FA326" w14:textId="77777777" w:rsidR="005C6FC7" w:rsidRPr="006B4F98" w:rsidRDefault="005C6FC7" w:rsidP="005C6FC7">
      <w:r w:rsidRPr="006B0F85">
        <w:t>1/8, 77/3, 120/3, 227/2, 227/3, 285/2, 293/1, 294/1, 296/1, 296/2, 302/2, 303/1, 304/1, 304/2, 304/3, 306, 307, 312/2, 338, 339, 341/1</w:t>
      </w:r>
      <w:r>
        <w:t>.</w:t>
      </w:r>
    </w:p>
    <w:p w14:paraId="2772B90E" w14:textId="77777777" w:rsidR="005C6FC7" w:rsidRPr="00501A76" w:rsidRDefault="005C6FC7" w:rsidP="005C6FC7"/>
    <w:p w14:paraId="3E38248D" w14:textId="77777777" w:rsidR="005C6FC7" w:rsidRPr="009C3083" w:rsidRDefault="005C6FC7" w:rsidP="00A22E5A"/>
    <w:sectPr w:rsidR="005C6FC7" w:rsidRPr="009C3083" w:rsidSect="00A22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6E90" w14:textId="77777777" w:rsidR="00C86988" w:rsidRDefault="00C86988" w:rsidP="00F86F3C">
      <w:pPr>
        <w:spacing w:line="240" w:lineRule="auto"/>
      </w:pPr>
      <w:r>
        <w:separator/>
      </w:r>
    </w:p>
  </w:endnote>
  <w:endnote w:type="continuationSeparator" w:id="0">
    <w:p w14:paraId="3D25BC8C" w14:textId="77777777" w:rsidR="00C86988" w:rsidRDefault="00C86988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20C0" w14:textId="77777777" w:rsidR="00194282" w:rsidRDefault="0019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DEC9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00122500" w14:textId="77777777" w:rsidTr="00BD0EEC">
      <w:tc>
        <w:tcPr>
          <w:tcW w:w="74" w:type="pct"/>
          <w:vAlign w:val="center"/>
        </w:tcPr>
        <w:p w14:paraId="1587C201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27086E73" wp14:editId="0981EC26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21F8338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42A52F1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36BCB255" w14:textId="2BE2EB5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2B119F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2B119F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322145E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869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5F4E4C53" w14:textId="77777777" w:rsidTr="00087547">
      <w:tc>
        <w:tcPr>
          <w:tcW w:w="74" w:type="pct"/>
          <w:vAlign w:val="center"/>
        </w:tcPr>
        <w:p w14:paraId="688CDC09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A792FAA" wp14:editId="56265FB4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8C0FD01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EE22194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442F2293" w14:textId="2F62BB66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2B119F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2B119F">
            <w:rPr>
              <w:rFonts w:cs="Rubik"/>
              <w:noProof/>
              <w:sz w:val="14"/>
              <w:szCs w:val="14"/>
            </w:rPr>
            <w:t>3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59D2EDB5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C9B8" w14:textId="77777777" w:rsidR="00C86988" w:rsidRDefault="00C86988" w:rsidP="00F86F3C">
      <w:pPr>
        <w:spacing w:line="240" w:lineRule="auto"/>
      </w:pPr>
      <w:r>
        <w:separator/>
      </w:r>
    </w:p>
  </w:footnote>
  <w:footnote w:type="continuationSeparator" w:id="0">
    <w:p w14:paraId="2D2A1965" w14:textId="77777777" w:rsidR="00C86988" w:rsidRDefault="00C86988" w:rsidP="00F86F3C">
      <w:pPr>
        <w:spacing w:line="240" w:lineRule="auto"/>
      </w:pPr>
      <w:r>
        <w:continuationSeparator/>
      </w:r>
    </w:p>
  </w:footnote>
  <w:footnote w:id="1">
    <w:p w14:paraId="5763005F" w14:textId="77777777" w:rsidR="00E1682F" w:rsidRPr="00191BBA" w:rsidRDefault="00E1682F" w:rsidP="00E1682F">
      <w:pPr>
        <w:pStyle w:val="Normlnbezmezer"/>
        <w:rPr>
          <w:sz w:val="16"/>
          <w:szCs w:val="16"/>
        </w:rPr>
      </w:pPr>
      <w:r w:rsidRPr="00191BBA">
        <w:rPr>
          <w:rStyle w:val="Znakapoznpodarou"/>
          <w:rFonts w:cs="Rubik"/>
          <w:sz w:val="16"/>
          <w:szCs w:val="16"/>
        </w:rPr>
        <w:footnoteRef/>
      </w:r>
      <w:r w:rsidRPr="00191BBA">
        <w:rPr>
          <w:sz w:val="16"/>
          <w:szCs w:val="16"/>
        </w:rPr>
        <w:t xml:space="preserve"> § 15 odst. 1 zákona o místních poplatcích</w:t>
      </w:r>
    </w:p>
  </w:footnote>
  <w:footnote w:id="2">
    <w:p w14:paraId="230D573F" w14:textId="6A91E52B" w:rsidR="007D09D9" w:rsidRDefault="007D09D9" w:rsidP="006D5338">
      <w:pPr>
        <w:pStyle w:val="Textpoznpodarou"/>
        <w:spacing w:after="0"/>
      </w:pPr>
      <w:r>
        <w:rPr>
          <w:rStyle w:val="Znakapoznpodarou"/>
        </w:rPr>
        <w:footnoteRef/>
      </w:r>
      <w:r w:rsidRPr="000712B0">
        <w:rPr>
          <w:sz w:val="16"/>
          <w:szCs w:val="16"/>
        </w:rPr>
        <w:t xml:space="preserve"> </w:t>
      </w:r>
      <w:r w:rsidR="000712B0" w:rsidRPr="000712B0">
        <w:rPr>
          <w:sz w:val="16"/>
          <w:szCs w:val="16"/>
        </w:rPr>
        <w:t>§ 4 odst. 1 zákona o místních poplatcích</w:t>
      </w:r>
    </w:p>
  </w:footnote>
  <w:footnote w:id="3">
    <w:p w14:paraId="5D6117E0" w14:textId="4597319D" w:rsidR="000712B0" w:rsidRDefault="000712B0" w:rsidP="006D5338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="006D5338" w:rsidRPr="006D5338">
        <w:rPr>
          <w:sz w:val="16"/>
          <w:szCs w:val="16"/>
        </w:rPr>
        <w:t>§ 4 odst. 2 zákona o místních poplatcích</w:t>
      </w:r>
    </w:p>
  </w:footnote>
  <w:footnote w:id="4">
    <w:p w14:paraId="29AEBD2C" w14:textId="239F4C4A" w:rsidR="00E20682" w:rsidRDefault="00E206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1770">
        <w:rPr>
          <w:rFonts w:cs="Rubik"/>
          <w:sz w:val="16"/>
          <w:szCs w:val="16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33D414D7" w14:textId="273C527A" w:rsidR="003176F1" w:rsidRDefault="003176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1770">
        <w:rPr>
          <w:rFonts w:cs="Rubik"/>
          <w:sz w:val="16"/>
          <w:szCs w:val="16"/>
        </w:rPr>
        <w:t>§ 14a odst. 4 zákona o místních poplatcích</w:t>
      </w:r>
    </w:p>
  </w:footnote>
  <w:footnote w:id="6">
    <w:p w14:paraId="3DC46E6E" w14:textId="220D86F1" w:rsidR="00AE49FB" w:rsidRDefault="00AE49FB" w:rsidP="002B119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FE1770">
        <w:rPr>
          <w:sz w:val="16"/>
          <w:szCs w:val="16"/>
        </w:rPr>
        <w:t>§ 4 odst. 1 zákona o místních poplatcích</w:t>
      </w:r>
    </w:p>
  </w:footnote>
  <w:footnote w:id="7">
    <w:p w14:paraId="6CA32526" w14:textId="2A61AC35" w:rsidR="00B33566" w:rsidRDefault="00B33566" w:rsidP="002B119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FE1770">
        <w:rPr>
          <w:sz w:val="16"/>
          <w:szCs w:val="16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553B" w14:textId="77777777" w:rsidR="00194282" w:rsidRDefault="00194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8480" w14:textId="77777777" w:rsidR="00194282" w:rsidRDefault="001942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3"/>
      <w:gridCol w:w="220"/>
      <w:gridCol w:w="266"/>
      <w:gridCol w:w="5495"/>
      <w:gridCol w:w="1015"/>
    </w:tblGrid>
    <w:tr w:rsidR="00194282" w14:paraId="03CB90E9" w14:textId="77777777" w:rsidTr="00194282">
      <w:trPr>
        <w:gridAfter w:val="4"/>
        <w:wAfter w:w="6996" w:type="dxa"/>
        <w:trHeight w:val="416"/>
      </w:trPr>
      <w:tc>
        <w:tcPr>
          <w:tcW w:w="2383" w:type="dxa"/>
          <w:vMerge w:val="restart"/>
          <w:hideMark/>
        </w:tcPr>
        <w:p w14:paraId="38DFFBCC" w14:textId="19A72BE5" w:rsidR="00194282" w:rsidRDefault="00194282" w:rsidP="00194282">
          <w:pPr>
            <w:pStyle w:val="Zhlav"/>
            <w:rPr>
              <w:rFonts w:ascii="Arial" w:hAnsi="Arial" w:cs="Arial"/>
            </w:rPr>
          </w:pPr>
          <w:bookmarkStart w:id="0" w:name="_Hlk143676249"/>
          <w:bookmarkStart w:id="1" w:name="_Hlk143676248"/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12CB9840" wp14:editId="177C6123">
                <wp:extent cx="981075" cy="1114425"/>
                <wp:effectExtent l="0" t="0" r="9525" b="0"/>
                <wp:docPr id="1479380882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347579" name="Grafický objekt 16813475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1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94282" w14:paraId="26AEF657" w14:textId="77777777" w:rsidTr="00194282">
      <w:trPr>
        <w:trHeight w:val="1403"/>
      </w:trPr>
      <w:tc>
        <w:tcPr>
          <w:tcW w:w="0" w:type="auto"/>
          <w:vMerge/>
          <w:vAlign w:val="center"/>
          <w:hideMark/>
        </w:tcPr>
        <w:p w14:paraId="3382FF48" w14:textId="77777777" w:rsidR="00194282" w:rsidRDefault="00194282" w:rsidP="00194282">
          <w:pPr>
            <w:spacing w:line="240" w:lineRule="auto"/>
            <w:jc w:val="left"/>
            <w:rPr>
              <w:rFonts w:ascii="Arial" w:hAnsi="Arial" w:cs="Arial"/>
            </w:rPr>
          </w:pPr>
        </w:p>
      </w:tc>
      <w:tc>
        <w:tcPr>
          <w:tcW w:w="220" w:type="dxa"/>
        </w:tcPr>
        <w:p w14:paraId="43882F51" w14:textId="77777777" w:rsidR="00194282" w:rsidRDefault="00194282" w:rsidP="00194282">
          <w:pPr>
            <w:pStyle w:val="Zhlav"/>
            <w:rPr>
              <w:rFonts w:cs="Rubik"/>
            </w:rPr>
          </w:pPr>
        </w:p>
      </w:tc>
      <w:tc>
        <w:tcPr>
          <w:tcW w:w="266" w:type="dxa"/>
          <w:hideMark/>
        </w:tcPr>
        <w:p w14:paraId="5A8C1F2D" w14:textId="7685217B" w:rsidR="00194282" w:rsidRDefault="00194282" w:rsidP="00194282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9371FCC" wp14:editId="48C98877">
                    <wp:extent cx="45720" cy="714375"/>
                    <wp:effectExtent l="0" t="0" r="1905" b="0"/>
                    <wp:docPr id="1595010694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" cy="714375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F6DC203" id="Obdélník 2" o:spid="_x0000_s1026" style="width:3.6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Zv5gEAALUDAAAOAAAAZHJzL2Uyb0RvYy54bWysU9tu2zAMfR+wfxD0vjhO0nYz4hRFug4D&#10;ugvQ7QMUWbaFyaJGKnGyrx+lpGmwvQ17EUyRPOQ5Ol7e7gcndgbJgq9lOZlKYbyGxvqult+/Pbx5&#10;KwVF5RvlwJtaHgzJ29XrV8sxVGYGPbjGoGAQT9UYatnHGKqiIN2bQdEEgvGcbAEHFTnErmhQjYw+&#10;uGI2nV4XI2ATELQh4tv7Y1KuMn7bGh2/tC2ZKFwtebeYT8znJp3FaqmqDlXorT6tof5hi0FZz0PP&#10;UPcqKrFF+xfUYDUCQRsnGoYC2tZqkzkwm3L6B5unXgWTubA4FM4y0f+D1Z93T+ErptUpPIL+QcLD&#10;ule+M3eIMPZGNTyuTEIVY6Dq3JAC4laxGT9Bw0+rthGyBvsWhwTI7MQ+S304S232UWi+XFzdzPg9&#10;NGduysX85ioPUNVzb0CKHwwMIn3UEvkhM7baPVJMu6jquSTvDs42D9a5HGC3WTsUO8WP/n4+vS7n&#10;J3S6LHM+FXtIbUfEdJNJJl7JQlRtoDkwR4Sjc9jp/NED/pJiZNfUkn5uFRop3EfPOr0rF4tksxyc&#10;OOJlZnOZUV4zVC11RCmOwToezbkNaLueZ5WZtoc7Vre1mfrLXqd12RtZkZOPk/ku41z18retfgMA&#10;AP//AwBQSwMEFAAGAAgAAAAhAPTXJDnYAAAAAwEAAA8AAABkcnMvZG93bnJldi54bWxMj01PwzAM&#10;hu9I/IfISNxYuorP0nSaKnHhgtaxAzcvMW1F41RNtnX/HsMFLpas99Xjx+Vq9oM60hT7wAaWiwwU&#10;sQ2u59bA+/bl5hFUTMgOh8Bk4EwRVtXlRYmFCyfe0LFJrRIIxwINdCmNhdbRduQxLsJILNlnmDwm&#10;WadWuwlPAveDzrPsXnvsWS50OFLdkf1qDl4ouw97dptXi3791NzqXVPXb70x11fz+hlUojn9leFH&#10;X9ShEqd9OLCLajAgj6TfKdlDDmovlWV+B7oq9X/36hsAAP//AwBQSwECLQAUAAYACAAAACEAtoM4&#10;kv4AAADhAQAAEwAAAAAAAAAAAAAAAAAAAAAAW0NvbnRlbnRfVHlwZXNdLnhtbFBLAQItABQABgAI&#10;AAAAIQA4/SH/1gAAAJQBAAALAAAAAAAAAAAAAAAAAC8BAABfcmVscy8ucmVsc1BLAQItABQABgAI&#10;AAAAIQAzUdZv5gEAALUDAAAOAAAAAAAAAAAAAAAAAC4CAABkcnMvZTJvRG9jLnhtbFBLAQItABQA&#10;BgAIAAAAIQD01yQ52AAAAAMBAAAPAAAAAAAAAAAAAAAAAEAEAABkcnMvZG93bnJldi54bWxQSwUG&#10;AAAAAAQABADzAAAARQUAAAAA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  <w:hideMark/>
        </w:tcPr>
        <w:p w14:paraId="4C94D8A4" w14:textId="77777777" w:rsidR="00194282" w:rsidRDefault="00194282" w:rsidP="00194282">
          <w:pPr>
            <w:pStyle w:val="Zhlav"/>
            <w:spacing w:line="252" w:lineRule="auto"/>
            <w:rPr>
              <w:rFonts w:cs="Rubik"/>
              <w:b/>
              <w:bCs/>
              <w:sz w:val="32"/>
              <w:szCs w:val="32"/>
            </w:rPr>
          </w:pPr>
          <w:r>
            <w:rPr>
              <w:rFonts w:cs="Rubik"/>
              <w:b/>
              <w:bCs/>
              <w:sz w:val="32"/>
              <w:szCs w:val="32"/>
            </w:rPr>
            <w:t>Město Lázně Bělohrad</w:t>
          </w:r>
        </w:p>
        <w:p w14:paraId="0547D683" w14:textId="77777777" w:rsidR="00194282" w:rsidRDefault="00194282" w:rsidP="00194282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>
            <w:rPr>
              <w:rFonts w:cs="Rubik"/>
              <w:sz w:val="32"/>
              <w:szCs w:val="32"/>
            </w:rPr>
            <w:t>Zastupitelstvo města</w:t>
          </w:r>
        </w:p>
        <w:p w14:paraId="2FFD0548" w14:textId="77777777" w:rsidR="00194282" w:rsidRDefault="00194282" w:rsidP="00194282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>
            <w:rPr>
              <w:rFonts w:cs="Rubik"/>
              <w:sz w:val="32"/>
              <w:szCs w:val="32"/>
            </w:rPr>
            <w:t>Lázně Bělohrad</w:t>
          </w:r>
        </w:p>
      </w:tc>
      <w:tc>
        <w:tcPr>
          <w:tcW w:w="1015" w:type="dxa"/>
        </w:tcPr>
        <w:p w14:paraId="18C05CA5" w14:textId="77777777" w:rsidR="00194282" w:rsidRDefault="00194282" w:rsidP="00194282">
          <w:pPr>
            <w:pStyle w:val="Zhlav"/>
            <w:rPr>
              <w:rFonts w:cs="Rubik"/>
              <w:sz w:val="12"/>
              <w:szCs w:val="12"/>
            </w:rPr>
          </w:pPr>
        </w:p>
      </w:tc>
      <w:bookmarkEnd w:id="0"/>
      <w:bookmarkEnd w:id="1"/>
    </w:tr>
  </w:tbl>
  <w:p w14:paraId="6FD016F4" w14:textId="77777777" w:rsidR="00BD0EEC" w:rsidRPr="009D08A9" w:rsidRDefault="00BD0EEC" w:rsidP="00E1682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1"/>
        <w:szCs w:val="21"/>
      </w:rPr>
    </w:lvl>
  </w:abstractNum>
  <w:abstractNum w:abstractNumId="1" w15:restartNumberingAfterBreak="0">
    <w:nsid w:val="087E725F"/>
    <w:multiLevelType w:val="hybridMultilevel"/>
    <w:tmpl w:val="D0CE2A50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FD2"/>
    <w:multiLevelType w:val="hybridMultilevel"/>
    <w:tmpl w:val="F0D8187A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4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3642BA"/>
    <w:multiLevelType w:val="hybridMultilevel"/>
    <w:tmpl w:val="FA8EDFB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D6F79"/>
    <w:multiLevelType w:val="hybridMultilevel"/>
    <w:tmpl w:val="A416602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F5389"/>
    <w:multiLevelType w:val="hybridMultilevel"/>
    <w:tmpl w:val="F550C5B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C3DA4"/>
    <w:multiLevelType w:val="hybridMultilevel"/>
    <w:tmpl w:val="1FEAA722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951378C"/>
    <w:multiLevelType w:val="hybridMultilevel"/>
    <w:tmpl w:val="82C8C608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B64DDF"/>
    <w:multiLevelType w:val="hybridMultilevel"/>
    <w:tmpl w:val="42F40A5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25BE6"/>
    <w:multiLevelType w:val="hybridMultilevel"/>
    <w:tmpl w:val="1190FE6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E90DBC"/>
    <w:multiLevelType w:val="hybridMultilevel"/>
    <w:tmpl w:val="0F3A6B30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01231"/>
    <w:multiLevelType w:val="hybridMultilevel"/>
    <w:tmpl w:val="0C36E2CE"/>
    <w:lvl w:ilvl="0" w:tplc="7E863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35CED"/>
    <w:multiLevelType w:val="multilevel"/>
    <w:tmpl w:val="0B2271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Rubik" w:hAnsi="Rubik" w:cs="Rubik"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49C464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9018447">
    <w:abstractNumId w:val="18"/>
  </w:num>
  <w:num w:numId="2" w16cid:durableId="1354113331">
    <w:abstractNumId w:val="4"/>
  </w:num>
  <w:num w:numId="3" w16cid:durableId="863980911">
    <w:abstractNumId w:val="20"/>
  </w:num>
  <w:num w:numId="4" w16cid:durableId="1266839607">
    <w:abstractNumId w:val="19"/>
  </w:num>
  <w:num w:numId="5" w16cid:durableId="462770998">
    <w:abstractNumId w:val="3"/>
  </w:num>
  <w:num w:numId="6" w16cid:durableId="2063360738">
    <w:abstractNumId w:val="10"/>
  </w:num>
  <w:num w:numId="7" w16cid:durableId="1559901488">
    <w:abstractNumId w:val="12"/>
  </w:num>
  <w:num w:numId="8" w16cid:durableId="2043166589">
    <w:abstractNumId w:val="8"/>
  </w:num>
  <w:num w:numId="9" w16cid:durableId="1728412029">
    <w:abstractNumId w:val="13"/>
  </w:num>
  <w:num w:numId="10" w16cid:durableId="568345310">
    <w:abstractNumId w:val="17"/>
  </w:num>
  <w:num w:numId="11" w16cid:durableId="55518689">
    <w:abstractNumId w:val="7"/>
  </w:num>
  <w:num w:numId="12" w16cid:durableId="1657293974">
    <w:abstractNumId w:val="5"/>
  </w:num>
  <w:num w:numId="13" w16cid:durableId="361515614">
    <w:abstractNumId w:val="9"/>
  </w:num>
  <w:num w:numId="14" w16cid:durableId="620187897">
    <w:abstractNumId w:val="11"/>
  </w:num>
  <w:num w:numId="15" w16cid:durableId="947198192">
    <w:abstractNumId w:val="15"/>
  </w:num>
  <w:num w:numId="16" w16cid:durableId="859470713">
    <w:abstractNumId w:val="0"/>
  </w:num>
  <w:num w:numId="17" w16cid:durableId="1025791019">
    <w:abstractNumId w:val="2"/>
  </w:num>
  <w:num w:numId="18" w16cid:durableId="1675449873">
    <w:abstractNumId w:val="16"/>
  </w:num>
  <w:num w:numId="19" w16cid:durableId="125900717">
    <w:abstractNumId w:val="6"/>
  </w:num>
  <w:num w:numId="20" w16cid:durableId="1821654282">
    <w:abstractNumId w:val="1"/>
  </w:num>
  <w:num w:numId="21" w16cid:durableId="1134982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2F"/>
    <w:rsid w:val="00060663"/>
    <w:rsid w:val="000712B0"/>
    <w:rsid w:val="00082692"/>
    <w:rsid w:val="000A70A7"/>
    <w:rsid w:val="000E1666"/>
    <w:rsid w:val="00121D44"/>
    <w:rsid w:val="00142459"/>
    <w:rsid w:val="00150601"/>
    <w:rsid w:val="00153476"/>
    <w:rsid w:val="00161B99"/>
    <w:rsid w:val="001672FC"/>
    <w:rsid w:val="00167494"/>
    <w:rsid w:val="00185F12"/>
    <w:rsid w:val="00194282"/>
    <w:rsid w:val="001B2375"/>
    <w:rsid w:val="001C074F"/>
    <w:rsid w:val="001D3AA5"/>
    <w:rsid w:val="001E0A44"/>
    <w:rsid w:val="0020100B"/>
    <w:rsid w:val="00205067"/>
    <w:rsid w:val="002279B5"/>
    <w:rsid w:val="0024024A"/>
    <w:rsid w:val="0026737B"/>
    <w:rsid w:val="002879E0"/>
    <w:rsid w:val="002A7D03"/>
    <w:rsid w:val="002B119F"/>
    <w:rsid w:val="003176F1"/>
    <w:rsid w:val="003224D1"/>
    <w:rsid w:val="00334697"/>
    <w:rsid w:val="00341151"/>
    <w:rsid w:val="003507EF"/>
    <w:rsid w:val="0035094C"/>
    <w:rsid w:val="003B4136"/>
    <w:rsid w:val="004040BD"/>
    <w:rsid w:val="0042044E"/>
    <w:rsid w:val="0045288D"/>
    <w:rsid w:val="004A00D6"/>
    <w:rsid w:val="004A053B"/>
    <w:rsid w:val="004D67F7"/>
    <w:rsid w:val="005339DA"/>
    <w:rsid w:val="00561BD8"/>
    <w:rsid w:val="00570AD0"/>
    <w:rsid w:val="00591994"/>
    <w:rsid w:val="00595E05"/>
    <w:rsid w:val="005C3AA1"/>
    <w:rsid w:val="005C6FC7"/>
    <w:rsid w:val="006378EB"/>
    <w:rsid w:val="00654F3C"/>
    <w:rsid w:val="00662EE1"/>
    <w:rsid w:val="006D5338"/>
    <w:rsid w:val="00742745"/>
    <w:rsid w:val="00752D77"/>
    <w:rsid w:val="00792B11"/>
    <w:rsid w:val="007A614D"/>
    <w:rsid w:val="007B210A"/>
    <w:rsid w:val="007D09D9"/>
    <w:rsid w:val="007D5CF5"/>
    <w:rsid w:val="007F7787"/>
    <w:rsid w:val="00814EF3"/>
    <w:rsid w:val="00816337"/>
    <w:rsid w:val="008366C0"/>
    <w:rsid w:val="00836B25"/>
    <w:rsid w:val="008442DB"/>
    <w:rsid w:val="00852290"/>
    <w:rsid w:val="00873D68"/>
    <w:rsid w:val="008A0DCC"/>
    <w:rsid w:val="008C5C7B"/>
    <w:rsid w:val="008F33CC"/>
    <w:rsid w:val="00916009"/>
    <w:rsid w:val="009271A1"/>
    <w:rsid w:val="0095796E"/>
    <w:rsid w:val="009A29F6"/>
    <w:rsid w:val="009B58EC"/>
    <w:rsid w:val="009C3083"/>
    <w:rsid w:val="009D08A9"/>
    <w:rsid w:val="00A1477D"/>
    <w:rsid w:val="00A22E5A"/>
    <w:rsid w:val="00A8649E"/>
    <w:rsid w:val="00A96878"/>
    <w:rsid w:val="00AB70B2"/>
    <w:rsid w:val="00AC3B85"/>
    <w:rsid w:val="00AE1B90"/>
    <w:rsid w:val="00AE49FB"/>
    <w:rsid w:val="00AF2963"/>
    <w:rsid w:val="00B011CF"/>
    <w:rsid w:val="00B31C7B"/>
    <w:rsid w:val="00B33566"/>
    <w:rsid w:val="00B463AC"/>
    <w:rsid w:val="00B63C41"/>
    <w:rsid w:val="00BB0AFE"/>
    <w:rsid w:val="00BB4DEF"/>
    <w:rsid w:val="00BD0EEC"/>
    <w:rsid w:val="00BD65DD"/>
    <w:rsid w:val="00C15191"/>
    <w:rsid w:val="00C31928"/>
    <w:rsid w:val="00C406B4"/>
    <w:rsid w:val="00C60F1D"/>
    <w:rsid w:val="00C73CCF"/>
    <w:rsid w:val="00C86988"/>
    <w:rsid w:val="00CB26CB"/>
    <w:rsid w:val="00CD154F"/>
    <w:rsid w:val="00CF3D4B"/>
    <w:rsid w:val="00D752B3"/>
    <w:rsid w:val="00D81486"/>
    <w:rsid w:val="00DF1E51"/>
    <w:rsid w:val="00E05C22"/>
    <w:rsid w:val="00E1682F"/>
    <w:rsid w:val="00E20682"/>
    <w:rsid w:val="00E82567"/>
    <w:rsid w:val="00EA3FE3"/>
    <w:rsid w:val="00EB4E3F"/>
    <w:rsid w:val="00ED15AA"/>
    <w:rsid w:val="00ED4A9F"/>
    <w:rsid w:val="00EE356B"/>
    <w:rsid w:val="00F17FC8"/>
    <w:rsid w:val="00F27E2E"/>
    <w:rsid w:val="00F35F1C"/>
    <w:rsid w:val="00F563CE"/>
    <w:rsid w:val="00F64AAA"/>
    <w:rsid w:val="00F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3AA8"/>
  <w15:chartTrackingRefBased/>
  <w15:docId w15:val="{04EC1C1B-F1A2-408D-AE22-EE802649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82F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82F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82F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82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82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82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E1682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1682F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E1682F"/>
    <w:pPr>
      <w:keepNext/>
      <w:keepLines/>
      <w:numPr>
        <w:numId w:val="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E1682F"/>
    <w:pPr>
      <w:keepNext/>
      <w:keepLines/>
      <w:numPr>
        <w:ilvl w:val="1"/>
        <w:numId w:val="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682F"/>
    <w:pPr>
      <w:numPr>
        <w:ilvl w:val="4"/>
        <w:numId w:val="5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682F"/>
    <w:pPr>
      <w:numPr>
        <w:ilvl w:val="3"/>
        <w:numId w:val="5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1682F"/>
    <w:pPr>
      <w:numPr>
        <w:ilvl w:val="2"/>
        <w:numId w:val="5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aragrafChar">
    <w:name w:val="Paragraf Char"/>
    <w:link w:val="Paragraf"/>
    <w:rsid w:val="00E168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42745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DFE41-DD97-4AD6-AF3B-A5EFFFA3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šablona.dotx</Template>
  <TotalTime>42</TotalTime>
  <Pages>6</Pages>
  <Words>1759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9</cp:revision>
  <cp:lastPrinted>2022-04-29T09:33:00Z</cp:lastPrinted>
  <dcterms:created xsi:type="dcterms:W3CDTF">2023-10-25T08:49:00Z</dcterms:created>
  <dcterms:modified xsi:type="dcterms:W3CDTF">2023-11-13T15:19:00Z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