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6E0" w:rsidRDefault="00F274B8">
      <w:pPr>
        <w:jc w:val="center"/>
      </w:pPr>
      <w:proofErr w:type="gramStart"/>
      <w:r>
        <w:rPr>
          <w:b/>
          <w:bCs/>
          <w:sz w:val="28"/>
          <w:szCs w:val="28"/>
        </w:rPr>
        <w:t>V  Y</w:t>
      </w:r>
      <w:proofErr w:type="gramEnd"/>
      <w:r>
        <w:rPr>
          <w:b/>
          <w:bCs/>
          <w:sz w:val="28"/>
          <w:szCs w:val="28"/>
        </w:rPr>
        <w:t>  H  L  Á  Š  K  A</w:t>
      </w:r>
    </w:p>
    <w:p w:rsidR="004F16E0" w:rsidRDefault="00F274B8">
      <w:pPr>
        <w:jc w:val="center"/>
      </w:pPr>
      <w:r>
        <w:rPr>
          <w:b/>
          <w:bCs/>
          <w:sz w:val="28"/>
          <w:szCs w:val="28"/>
        </w:rPr>
        <w:t xml:space="preserve">s t a t u t á r n í h o    m ě s t a    P l z n ě    </w:t>
      </w:r>
    </w:p>
    <w:p w:rsidR="004F16E0" w:rsidRDefault="00F274B8">
      <w:pPr>
        <w:jc w:val="center"/>
      </w:pPr>
      <w:r>
        <w:rPr>
          <w:b/>
          <w:bCs/>
          <w:sz w:val="28"/>
          <w:szCs w:val="28"/>
        </w:rPr>
        <w:t>č. 9/2010,</w:t>
      </w:r>
    </w:p>
    <w:p w:rsidR="004F16E0" w:rsidRDefault="00F274B8">
      <w:pPr>
        <w:jc w:val="center"/>
      </w:pPr>
      <w:r>
        <w:rPr>
          <w:b/>
          <w:bCs/>
          <w:sz w:val="28"/>
          <w:szCs w:val="28"/>
        </w:rPr>
        <w:t>kterou se mění vyhláška statutárního města Plzně č. 22/2004,</w:t>
      </w:r>
    </w:p>
    <w:p w:rsidR="004F16E0" w:rsidRDefault="00F274B8">
      <w:pPr>
        <w:ind w:left="360"/>
        <w:jc w:val="center"/>
      </w:pPr>
      <w:r>
        <w:rPr>
          <w:b/>
          <w:bCs/>
          <w:sz w:val="28"/>
          <w:szCs w:val="28"/>
        </w:rPr>
        <w:t xml:space="preserve">o místním </w:t>
      </w:r>
      <w:proofErr w:type="gramStart"/>
      <w:r>
        <w:rPr>
          <w:b/>
          <w:bCs/>
          <w:sz w:val="28"/>
          <w:szCs w:val="28"/>
        </w:rPr>
        <w:t>poplatku  ze</w:t>
      </w:r>
      <w:proofErr w:type="gramEnd"/>
      <w:r>
        <w:rPr>
          <w:b/>
          <w:bCs/>
          <w:sz w:val="28"/>
          <w:szCs w:val="28"/>
        </w:rPr>
        <w:t xml:space="preserve"> psů, ve znění vyhlášky statutárního </w:t>
      </w:r>
    </w:p>
    <w:p w:rsidR="004F16E0" w:rsidRDefault="00F274B8">
      <w:pPr>
        <w:ind w:left="360"/>
        <w:jc w:val="center"/>
      </w:pPr>
      <w:r>
        <w:rPr>
          <w:b/>
          <w:bCs/>
          <w:sz w:val="28"/>
          <w:szCs w:val="28"/>
        </w:rPr>
        <w:t>města Plzně č. 10/2007</w:t>
      </w:r>
    </w:p>
    <w:p w:rsidR="004F16E0" w:rsidRDefault="00F274B8">
      <w:pPr>
        <w:jc w:val="both"/>
      </w:pPr>
      <w:r>
        <w:rPr>
          <w:sz w:val="24"/>
          <w:szCs w:val="24"/>
        </w:rPr>
        <w:t xml:space="preserve">     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pStyle w:val="vlevo"/>
      </w:pPr>
      <w:r>
        <w:t xml:space="preserve">          Zastupitelstvo města Plzně vydalo usnesením č. 400 ze dne 16. září 2010 podle § 14 odst. 2 zákona ČNR č. 565/1990 Sb., o místních poplatcích, ve znění pozdějších předpisů, a podle § 84 odst. 2 písm. h) zákona č. 128/2000 Sb., o </w:t>
      </w:r>
      <w:proofErr w:type="gramStart"/>
      <w:r>
        <w:t>obcích,  ve</w:t>
      </w:r>
      <w:proofErr w:type="gramEnd"/>
      <w:r>
        <w:t xml:space="preserve"> znění pozdějších předpisů, tuto</w:t>
      </w:r>
    </w:p>
    <w:p w:rsidR="004F16E0" w:rsidRDefault="00F274B8">
      <w:r>
        <w:rPr>
          <w:b/>
          <w:bCs/>
          <w:sz w:val="32"/>
          <w:szCs w:val="32"/>
        </w:rPr>
        <w:t> </w:t>
      </w:r>
    </w:p>
    <w:p w:rsidR="004F16E0" w:rsidRDefault="00F274B8">
      <w:r>
        <w:rPr>
          <w:b/>
          <w:bCs/>
          <w:sz w:val="32"/>
          <w:szCs w:val="32"/>
        </w:rPr>
        <w:t> </w:t>
      </w:r>
    </w:p>
    <w:p w:rsidR="004F16E0" w:rsidRDefault="00F274B8">
      <w:pPr>
        <w:jc w:val="center"/>
      </w:pPr>
      <w:r>
        <w:rPr>
          <w:b/>
          <w:bCs/>
          <w:sz w:val="28"/>
          <w:szCs w:val="28"/>
        </w:rPr>
        <w:t>o b e c n ě     z á v a z n o u     v y h l á š k </w:t>
      </w:r>
      <w:proofErr w:type="gramStart"/>
      <w:r>
        <w:rPr>
          <w:b/>
          <w:bCs/>
          <w:sz w:val="28"/>
          <w:szCs w:val="28"/>
        </w:rPr>
        <w:t>u .</w:t>
      </w:r>
      <w:proofErr w:type="gramEnd"/>
    </w:p>
    <w:p w:rsidR="004F16E0" w:rsidRDefault="00F274B8">
      <w:r>
        <w:t> </w:t>
      </w:r>
    </w:p>
    <w:p w:rsidR="004F16E0" w:rsidRDefault="00F274B8">
      <w:r>
        <w:t> </w:t>
      </w:r>
    </w:p>
    <w:p w:rsidR="004F16E0" w:rsidRDefault="00F274B8">
      <w:pPr>
        <w:jc w:val="center"/>
      </w:pPr>
      <w:r>
        <w:rPr>
          <w:b/>
          <w:bCs/>
          <w:sz w:val="24"/>
          <w:szCs w:val="24"/>
        </w:rPr>
        <w:t>Čl.  I</w:t>
      </w:r>
    </w:p>
    <w:p w:rsidR="004F16E0" w:rsidRDefault="00F274B8">
      <w:pPr>
        <w:jc w:val="center"/>
      </w:pPr>
      <w:r>
        <w:rPr>
          <w:b/>
          <w:bCs/>
          <w:sz w:val="24"/>
          <w:szCs w:val="24"/>
        </w:rPr>
        <w:t> </w:t>
      </w:r>
    </w:p>
    <w:p w:rsidR="004F16E0" w:rsidRDefault="00F274B8">
      <w:pPr>
        <w:jc w:val="center"/>
      </w:pPr>
      <w:r>
        <w:rPr>
          <w:b/>
          <w:bCs/>
          <w:sz w:val="24"/>
          <w:szCs w:val="24"/>
        </w:rPr>
        <w:t> </w:t>
      </w:r>
    </w:p>
    <w:p w:rsidR="004F16E0" w:rsidRDefault="00F274B8">
      <w:pPr>
        <w:pStyle w:val="Zkladntext"/>
      </w:pPr>
      <w:r>
        <w:t>Vyhláška statutárního města Plzně č. 22/2004 o místním poplatku ze psů, ve znění vyhlášky statutárního města Plzně č. 10/2007 se mění takto: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ind w:left="426" w:hanging="426"/>
        <w:jc w:val="both"/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14"/>
          <w:szCs w:val="14"/>
        </w:rPr>
        <w:t xml:space="preserve">        </w:t>
      </w:r>
      <w:r>
        <w:rPr>
          <w:sz w:val="24"/>
          <w:szCs w:val="24"/>
        </w:rPr>
        <w:t>V Článku 2 se ruší text v poznámce pod čarou č. 2 a nahrazuje se textem „Zákon                     č. 280/2009 Sb., daňový řád.“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ind w:left="426" w:hanging="426"/>
        <w:jc w:val="both"/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14"/>
          <w:szCs w:val="14"/>
        </w:rPr>
        <w:t xml:space="preserve">        </w:t>
      </w:r>
      <w:r>
        <w:rPr>
          <w:sz w:val="24"/>
          <w:szCs w:val="24"/>
        </w:rPr>
        <w:t>V Článku 3 se ruší text v poznámce pod čarou č. 3 a nahrazuje se textem „§ 2 odst. 1 zákona č. 565/1990 Sb., o místních poplatcích, ve znění pozdějších předpisů. Zákon            č. 133/2000 Sb., o evidenci obyvatel a rodných číslech a o změně některých zákonů, ve znění pozdějších předpisů.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ind w:left="900" w:hanging="900"/>
        <w:jc w:val="both"/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14"/>
          <w:szCs w:val="14"/>
        </w:rPr>
        <w:t xml:space="preserve">        </w:t>
      </w:r>
      <w:r>
        <w:rPr>
          <w:sz w:val="24"/>
          <w:szCs w:val="24"/>
        </w:rPr>
        <w:t xml:space="preserve">Článek 4 se ruší a nahrazuje se novým článkem: 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jc w:val="center"/>
      </w:pPr>
      <w:r>
        <w:rPr>
          <w:b/>
          <w:bCs/>
          <w:sz w:val="24"/>
          <w:szCs w:val="24"/>
        </w:rPr>
        <w:t>„Článek 4</w:t>
      </w:r>
    </w:p>
    <w:p w:rsidR="004F16E0" w:rsidRDefault="00F274B8">
      <w:pPr>
        <w:jc w:val="center"/>
      </w:pPr>
      <w:r>
        <w:rPr>
          <w:b/>
          <w:bCs/>
          <w:sz w:val="24"/>
          <w:szCs w:val="24"/>
        </w:rPr>
        <w:t>Roční sazba poplatku</w:t>
      </w:r>
    </w:p>
    <w:p w:rsidR="004F16E0" w:rsidRDefault="00F274B8">
      <w:r>
        <w:rPr>
          <w:sz w:val="24"/>
          <w:szCs w:val="24"/>
        </w:rPr>
        <w:t> </w:t>
      </w:r>
    </w:p>
    <w:p w:rsidR="004F16E0" w:rsidRDefault="00F274B8">
      <w:r>
        <w:rPr>
          <w:sz w:val="24"/>
          <w:szCs w:val="24"/>
        </w:rPr>
        <w:t>Roční sazba poplatku ze psů činí:</w:t>
      </w:r>
    </w:p>
    <w:p w:rsidR="004F16E0" w:rsidRDefault="00F274B8">
      <w:pPr>
        <w:pStyle w:val="Zpat"/>
        <w:ind w:left="720" w:hanging="360"/>
      </w:pPr>
      <w:r>
        <w:rPr>
          <w:sz w:val="24"/>
          <w:szCs w:val="24"/>
        </w:rPr>
        <w:t>a)</w:t>
      </w:r>
      <w:r>
        <w:rPr>
          <w:sz w:val="14"/>
          <w:szCs w:val="14"/>
        </w:rPr>
        <w:t xml:space="preserve">      </w:t>
      </w:r>
      <w:r>
        <w:rPr>
          <w:sz w:val="24"/>
          <w:szCs w:val="24"/>
        </w:rPr>
        <w:t>pro držitele psa, který má trvalý pobyt nebo sídlo v rodinném domě</w:t>
      </w:r>
      <w:r>
        <w:rPr>
          <w:sz w:val="24"/>
          <w:szCs w:val="24"/>
          <w:vertAlign w:val="superscript"/>
        </w:rPr>
        <w:t>4)</w:t>
      </w:r>
      <w:r>
        <w:rPr>
          <w:sz w:val="24"/>
          <w:szCs w:val="24"/>
        </w:rPr>
        <w:t xml:space="preserve"> </w:t>
      </w: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0"/>
        <w:gridCol w:w="4280"/>
        <w:gridCol w:w="494"/>
      </w:tblGrid>
      <w:tr w:rsidR="004F16E0">
        <w:tc>
          <w:tcPr>
            <w:tcW w:w="715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r>
              <w:rPr>
                <w:sz w:val="24"/>
                <w:szCs w:val="24"/>
              </w:rPr>
              <w:t xml:space="preserve">  - za jednoho psa                                                                                                  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pPr>
              <w:jc w:val="right"/>
            </w:pPr>
            <w:r>
              <w:rPr>
                <w:sz w:val="24"/>
                <w:szCs w:val="24"/>
              </w:rPr>
              <w:t xml:space="preserve">  </w:t>
            </w:r>
            <w:r>
              <w:rPr>
                <w:b/>
                <w:bCs/>
                <w:sz w:val="24"/>
                <w:szCs w:val="24"/>
              </w:rPr>
              <w:t>500,-</w:t>
            </w:r>
          </w:p>
        </w:tc>
        <w:tc>
          <w:tcPr>
            <w:tcW w:w="6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 Kč</w:t>
            </w:r>
          </w:p>
        </w:tc>
      </w:tr>
      <w:tr w:rsidR="004F16E0">
        <w:trPr>
          <w:trHeight w:val="284"/>
        </w:trPr>
        <w:tc>
          <w:tcPr>
            <w:tcW w:w="715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r>
              <w:rPr>
                <w:sz w:val="24"/>
                <w:szCs w:val="24"/>
              </w:rPr>
              <w:t>  - za druhého a každého dalšího psa                                    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1 500,-</w:t>
            </w:r>
            <w:r>
              <w:rPr>
                <w:sz w:val="24"/>
                <w:szCs w:val="24"/>
              </w:rPr>
              <w:t xml:space="preserve">  </w:t>
            </w:r>
            <w:r>
              <w:rPr>
                <w:b/>
                <w:bCs/>
                <w:sz w:val="24"/>
                <w:szCs w:val="24"/>
              </w:rPr>
              <w:t>                                                                 1 500,-</w:t>
            </w:r>
          </w:p>
        </w:tc>
        <w:tc>
          <w:tcPr>
            <w:tcW w:w="6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 Kč</w:t>
            </w:r>
          </w:p>
        </w:tc>
      </w:tr>
    </w:tbl>
    <w:p w:rsidR="004F16E0" w:rsidRDefault="00F274B8">
      <w:pPr>
        <w:jc w:val="both"/>
      </w:pPr>
      <w:r>
        <w:t xml:space="preserve">                               </w:t>
      </w:r>
    </w:p>
    <w:p w:rsidR="004F16E0" w:rsidRDefault="00F274B8">
      <w:pPr>
        <w:pStyle w:val="Zkladntext2"/>
        <w:ind w:left="720" w:hanging="360"/>
        <w:jc w:val="both"/>
      </w:pPr>
      <w:r>
        <w:t>b)</w:t>
      </w:r>
      <w:r>
        <w:rPr>
          <w:sz w:val="14"/>
          <w:szCs w:val="14"/>
        </w:rPr>
        <w:t xml:space="preserve">      </w:t>
      </w:r>
      <w:r>
        <w:t xml:space="preserve">pro držitele, který je poživatelem invalidního, starobního, vdovského nebo vdoveckého důchodu, </w:t>
      </w:r>
      <w:proofErr w:type="spellStart"/>
      <w:r>
        <w:t>eventuelně</w:t>
      </w:r>
      <w:proofErr w:type="spellEnd"/>
      <w:r>
        <w:t xml:space="preserve"> sirotčího důchodu, a to i v případě souběhu dvou či více výše uvedených důchodů, pokud tento důchod či důchody tvoří jediný zdroj příjmů držitele </w:t>
      </w:r>
    </w:p>
    <w:tbl>
      <w:tblPr>
        <w:tblW w:w="0" w:type="auto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1"/>
        <w:gridCol w:w="708"/>
        <w:gridCol w:w="567"/>
      </w:tblGrid>
      <w:tr w:rsidR="004F16E0">
        <w:tc>
          <w:tcPr>
            <w:tcW w:w="744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pPr>
              <w:jc w:val="both"/>
            </w:pPr>
            <w:r>
              <w:rPr>
                <w:sz w:val="24"/>
                <w:szCs w:val="24"/>
              </w:rPr>
              <w:t xml:space="preserve">     - za jednoho </w:t>
            </w:r>
            <w:r>
              <w:rPr>
                <w:sz w:val="24"/>
                <w:szCs w:val="24"/>
              </w:rPr>
              <w:lastRenderedPageBreak/>
              <w:t xml:space="preserve">psa                                                                                                  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lastRenderedPageBreak/>
              <w:t>200,-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 Kč</w:t>
            </w:r>
          </w:p>
        </w:tc>
      </w:tr>
      <w:tr w:rsidR="004F16E0">
        <w:tc>
          <w:tcPr>
            <w:tcW w:w="744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r>
              <w:rPr>
                <w:sz w:val="24"/>
                <w:szCs w:val="24"/>
              </w:rPr>
              <w:t xml:space="preserve">     - za druhého a každého dalšího psa     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300,-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 Kč</w:t>
            </w:r>
          </w:p>
        </w:tc>
      </w:tr>
    </w:tbl>
    <w:p w:rsidR="004F16E0" w:rsidRDefault="00F274B8">
      <w:pPr>
        <w:ind w:left="567"/>
        <w:jc w:val="both"/>
      </w:pPr>
      <w:r>
        <w:rPr>
          <w:sz w:val="24"/>
          <w:szCs w:val="24"/>
        </w:rPr>
        <w:t>  za podmínky, že držitel doloží doklad vydaný příslušným správním orgánem potvrzující, že držitel psa je poživatelem určitého důchodu a předloží čestné prohlášení, že uvedený důchod či důchody jsou jeho jediným zdrojem příjmů</w:t>
      </w:r>
    </w:p>
    <w:p w:rsidR="004F16E0" w:rsidRDefault="00F274B8">
      <w:pPr>
        <w:pStyle w:val="Zpat"/>
        <w:ind w:left="720" w:hanging="360"/>
        <w:jc w:val="both"/>
      </w:pPr>
      <w:r>
        <w:rPr>
          <w:sz w:val="24"/>
          <w:szCs w:val="24"/>
        </w:rPr>
        <w:t>c)</w:t>
      </w:r>
      <w:r>
        <w:rPr>
          <w:sz w:val="14"/>
          <w:szCs w:val="14"/>
        </w:rPr>
        <w:t xml:space="preserve">      </w:t>
      </w:r>
      <w:r>
        <w:rPr>
          <w:sz w:val="24"/>
          <w:szCs w:val="24"/>
        </w:rPr>
        <w:t>pro ostatní držitele</w:t>
      </w:r>
    </w:p>
    <w:tbl>
      <w:tblPr>
        <w:tblW w:w="9283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2"/>
        <w:gridCol w:w="855"/>
        <w:gridCol w:w="285"/>
        <w:gridCol w:w="211"/>
      </w:tblGrid>
      <w:tr w:rsidR="004F16E0">
        <w:tc>
          <w:tcPr>
            <w:tcW w:w="793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pPr>
              <w:pStyle w:val="Zpat"/>
              <w:jc w:val="both"/>
            </w:pPr>
            <w:r>
              <w:rPr>
                <w:sz w:val="24"/>
                <w:szCs w:val="24"/>
              </w:rPr>
              <w:t xml:space="preserve">   - </w:t>
            </w:r>
            <w:proofErr w:type="gramStart"/>
            <w:r>
              <w:rPr>
                <w:sz w:val="24"/>
                <w:szCs w:val="24"/>
              </w:rPr>
              <w:t>za  jednoho</w:t>
            </w:r>
            <w:proofErr w:type="gramEnd"/>
            <w:r>
              <w:rPr>
                <w:sz w:val="24"/>
                <w:szCs w:val="24"/>
              </w:rPr>
              <w:t>  psa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t>900,-</w:t>
            </w:r>
          </w:p>
        </w:tc>
        <w:tc>
          <w:tcPr>
            <w:tcW w:w="4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t> Kč</w:t>
            </w:r>
          </w:p>
        </w:tc>
      </w:tr>
      <w:tr w:rsidR="004F16E0">
        <w:tc>
          <w:tcPr>
            <w:tcW w:w="793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pPr>
              <w:jc w:val="both"/>
            </w:pPr>
            <w:r>
              <w:rPr>
                <w:sz w:val="24"/>
                <w:szCs w:val="24"/>
              </w:rPr>
              <w:t xml:space="preserve">   - za druhého a každého dalšího psa                                                                 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1 500,-</w:t>
            </w:r>
          </w:p>
        </w:tc>
        <w:tc>
          <w:tcPr>
            <w:tcW w:w="4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 Kč</w:t>
            </w:r>
          </w:p>
        </w:tc>
      </w:tr>
      <w:tr w:rsidR="004F16E0">
        <w:tc>
          <w:tcPr>
            <w:tcW w:w="793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pPr>
              <w:ind w:right="-70"/>
              <w:jc w:val="both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F16E0">
        <w:tc>
          <w:tcPr>
            <w:tcW w:w="907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pPr>
              <w:ind w:right="-1347"/>
              <w:jc w:val="both"/>
            </w:pPr>
            <w:r>
              <w:rPr>
                <w:sz w:val="24"/>
                <w:szCs w:val="24"/>
                <w:vertAlign w:val="superscript"/>
              </w:rPr>
              <w:t>4)</w:t>
            </w:r>
            <w:r>
              <w:rPr>
                <w:sz w:val="24"/>
                <w:szCs w:val="24"/>
              </w:rPr>
              <w:t xml:space="preserve"> § 2 písm. a) odst. 2) vyhlášky č. 501/2006 Sb., o obecných požadavcích na využívání </w:t>
            </w:r>
            <w:proofErr w:type="gramStart"/>
            <w:r>
              <w:rPr>
                <w:sz w:val="24"/>
                <w:szCs w:val="24"/>
              </w:rPr>
              <w:t>území..</w:t>
            </w:r>
            <w:proofErr w:type="gramEnd"/>
          </w:p>
        </w:tc>
        <w:tc>
          <w:tcPr>
            <w:tcW w:w="21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 </w:t>
            </w:r>
          </w:p>
          <w:p w:rsidR="004F16E0" w:rsidRDefault="00F274B8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F16E0"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6E0" w:rsidRDefault="004F16E0">
            <w:pPr>
              <w:rPr>
                <w:rFonts w:eastAsia="Times New Roman"/>
                <w:sz w:val="1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6E0" w:rsidRDefault="004F16E0">
            <w:pPr>
              <w:rPr>
                <w:rFonts w:eastAsia="Times New Roman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6E0" w:rsidRDefault="004F16E0">
            <w:pPr>
              <w:rPr>
                <w:rFonts w:eastAsia="Times New Roman"/>
                <w:sz w:val="1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6E0" w:rsidRDefault="004F16E0">
            <w:pPr>
              <w:rPr>
                <w:rFonts w:eastAsia="Times New Roman"/>
                <w:sz w:val="1"/>
                <w:szCs w:val="24"/>
              </w:rPr>
            </w:pPr>
          </w:p>
        </w:tc>
      </w:tr>
    </w:tbl>
    <w:p w:rsidR="004F16E0" w:rsidRDefault="00F274B8">
      <w:pPr>
        <w:ind w:left="900" w:hanging="900"/>
        <w:jc w:val="both"/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14"/>
          <w:szCs w:val="14"/>
        </w:rPr>
        <w:t xml:space="preserve">        </w:t>
      </w:r>
      <w:r>
        <w:rPr>
          <w:sz w:val="24"/>
          <w:szCs w:val="24"/>
        </w:rPr>
        <w:t>Článek 5 se ruší a nahrazuje se novým článkem: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jc w:val="center"/>
      </w:pPr>
      <w:r>
        <w:rPr>
          <w:b/>
          <w:bCs/>
          <w:sz w:val="24"/>
          <w:szCs w:val="24"/>
        </w:rPr>
        <w:t>„Článek 5</w:t>
      </w:r>
    </w:p>
    <w:p w:rsidR="004F16E0" w:rsidRDefault="00F274B8">
      <w:pPr>
        <w:pStyle w:val="Nadpis3"/>
        <w:rPr>
          <w:rFonts w:eastAsia="Times New Roman"/>
        </w:rPr>
      </w:pPr>
      <w:r>
        <w:rPr>
          <w:rFonts w:eastAsia="Times New Roman"/>
        </w:rPr>
        <w:t>Osvobození a úlevy</w:t>
      </w:r>
    </w:p>
    <w:p w:rsidR="004F16E0" w:rsidRDefault="00F274B8">
      <w:r>
        <w:rPr>
          <w:sz w:val="24"/>
          <w:szCs w:val="24"/>
        </w:rPr>
        <w:t> </w:t>
      </w:r>
    </w:p>
    <w:p w:rsidR="004F16E0" w:rsidRDefault="00F274B8">
      <w:pPr>
        <w:jc w:val="both"/>
      </w:pPr>
      <w:r>
        <w:rPr>
          <w:sz w:val="24"/>
          <w:szCs w:val="24"/>
        </w:rPr>
        <w:t>(1)</w:t>
      </w:r>
      <w:r>
        <w:rPr>
          <w:sz w:val="14"/>
          <w:szCs w:val="14"/>
        </w:rPr>
        <w:t xml:space="preserve">     </w:t>
      </w:r>
      <w:r>
        <w:rPr>
          <w:sz w:val="24"/>
          <w:szCs w:val="24"/>
        </w:rPr>
        <w:t>Poplatek se neplatí ze psů</w:t>
      </w:r>
    </w:p>
    <w:p w:rsidR="004F16E0" w:rsidRDefault="00F274B8">
      <w:pPr>
        <w:ind w:left="360" w:hanging="360"/>
        <w:jc w:val="both"/>
      </w:pPr>
      <w:r>
        <w:rPr>
          <w:sz w:val="24"/>
          <w:szCs w:val="24"/>
        </w:rPr>
        <w:t>(a)</w:t>
      </w:r>
      <w:r>
        <w:rPr>
          <w:sz w:val="14"/>
          <w:szCs w:val="14"/>
        </w:rPr>
        <w:t xml:space="preserve">    </w:t>
      </w:r>
      <w:r>
        <w:rPr>
          <w:sz w:val="24"/>
          <w:szCs w:val="24"/>
        </w:rPr>
        <w:t>držitele, kterým je osoba nevidomá, bezmocná</w:t>
      </w:r>
      <w:r>
        <w:rPr>
          <w:sz w:val="24"/>
          <w:szCs w:val="24"/>
          <w:vertAlign w:val="superscript"/>
        </w:rPr>
        <w:t>5)</w:t>
      </w:r>
      <w:r>
        <w:rPr>
          <w:sz w:val="24"/>
          <w:szCs w:val="24"/>
        </w:rPr>
        <w:t xml:space="preserve"> a osoba </w:t>
      </w:r>
      <w:proofErr w:type="gramStart"/>
      <w:r>
        <w:rPr>
          <w:sz w:val="24"/>
          <w:szCs w:val="24"/>
        </w:rPr>
        <w:t>s  těžkým</w:t>
      </w:r>
      <w:proofErr w:type="gramEnd"/>
      <w:r>
        <w:rPr>
          <w:sz w:val="24"/>
          <w:szCs w:val="24"/>
        </w:rPr>
        <w:t xml:space="preserve"> zdravotním postižením,  které byl přiznán III. stupeň mimořádných výhod podle zvláštního právního předpisu</w:t>
      </w:r>
      <w:r>
        <w:rPr>
          <w:sz w:val="24"/>
          <w:szCs w:val="24"/>
          <w:vertAlign w:val="superscript"/>
        </w:rPr>
        <w:t>5a)</w:t>
      </w:r>
      <w:r>
        <w:rPr>
          <w:sz w:val="24"/>
          <w:szCs w:val="24"/>
        </w:rPr>
        <w:t>, osoba provádějící výcvik psů určených k doprovodu těchto osob, osoba provozující útulek pro ztracené nebo opuštěné psy nebo osoba, které stanoví  povinnost držení a používání psa zvláštní právní předpis</w:t>
      </w:r>
      <w:r>
        <w:rPr>
          <w:sz w:val="24"/>
          <w:szCs w:val="24"/>
          <w:vertAlign w:val="superscript"/>
        </w:rPr>
        <w:t>5b)</w:t>
      </w:r>
      <w:r>
        <w:rPr>
          <w:sz w:val="24"/>
          <w:szCs w:val="24"/>
        </w:rPr>
        <w:t>,</w:t>
      </w:r>
    </w:p>
    <w:p w:rsidR="004F16E0" w:rsidRDefault="00F274B8">
      <w:pPr>
        <w:jc w:val="both"/>
      </w:pPr>
      <w:r>
        <w:rPr>
          <w:sz w:val="24"/>
          <w:szCs w:val="24"/>
        </w:rPr>
        <w:t xml:space="preserve">b)  umístěných </w:t>
      </w:r>
      <w:proofErr w:type="gramStart"/>
      <w:r>
        <w:rPr>
          <w:sz w:val="24"/>
          <w:szCs w:val="24"/>
        </w:rPr>
        <w:t>v  psích</w:t>
      </w:r>
      <w:proofErr w:type="gramEnd"/>
      <w:r>
        <w:rPr>
          <w:sz w:val="24"/>
          <w:szCs w:val="24"/>
        </w:rPr>
        <w:t xml:space="preserve"> útulcích,</w:t>
      </w:r>
    </w:p>
    <w:p w:rsidR="004F16E0" w:rsidRDefault="00F274B8">
      <w:pPr>
        <w:jc w:val="both"/>
      </w:pPr>
      <w:r>
        <w:rPr>
          <w:sz w:val="24"/>
          <w:szCs w:val="24"/>
        </w:rPr>
        <w:t xml:space="preserve">c)  chovaných k vědeckým účelům, </w:t>
      </w:r>
    </w:p>
    <w:p w:rsidR="004F16E0" w:rsidRDefault="00F274B8">
      <w:pPr>
        <w:jc w:val="both"/>
      </w:pPr>
      <w:r>
        <w:rPr>
          <w:sz w:val="24"/>
          <w:szCs w:val="24"/>
        </w:rPr>
        <w:t xml:space="preserve">d)  držených Českým červeným křížem, </w:t>
      </w:r>
    </w:p>
    <w:p w:rsidR="004F16E0" w:rsidRDefault="00F274B8">
      <w:pPr>
        <w:ind w:left="284" w:hanging="284"/>
        <w:jc w:val="both"/>
      </w:pPr>
      <w:r>
        <w:rPr>
          <w:sz w:val="24"/>
          <w:szCs w:val="24"/>
        </w:rPr>
        <w:t xml:space="preserve">e)  </w:t>
      </w:r>
      <w:proofErr w:type="gramStart"/>
      <w:r>
        <w:rPr>
          <w:sz w:val="24"/>
          <w:szCs w:val="24"/>
        </w:rPr>
        <w:t>sloužících  Policii</w:t>
      </w:r>
      <w:proofErr w:type="gramEnd"/>
      <w:r>
        <w:rPr>
          <w:sz w:val="24"/>
          <w:szCs w:val="24"/>
        </w:rPr>
        <w:t xml:space="preserve">   ČR   a  Městské   policii,  Vězeňské  službě,  pokud  mají psi  Osvědčení o způsobilosti psa, </w:t>
      </w:r>
    </w:p>
    <w:p w:rsidR="004F16E0" w:rsidRDefault="00F274B8">
      <w:pPr>
        <w:jc w:val="both"/>
      </w:pPr>
      <w:r>
        <w:rPr>
          <w:sz w:val="24"/>
          <w:szCs w:val="24"/>
        </w:rPr>
        <w:t>f)   držených statutárním městem Plzeň a jím zřízených příspěvkových organizací,</w:t>
      </w:r>
    </w:p>
    <w:p w:rsidR="004F16E0" w:rsidRDefault="00F274B8">
      <w:pPr>
        <w:pStyle w:val="Zkladntext2"/>
        <w:ind w:left="426" w:hanging="426"/>
        <w:jc w:val="both"/>
      </w:pPr>
      <w:r>
        <w:t>g)  držitele, který převzal dotčeného psa z útulku, a to do konce následujícího kalendářního         roku od doby převzetí dotčeného psa z útulku; to však neplatí, převezme-li psa z útulku jeho původní držitel,</w:t>
      </w:r>
    </w:p>
    <w:p w:rsidR="004F16E0" w:rsidRDefault="00F274B8">
      <w:pPr>
        <w:pStyle w:val="Zkladntext2"/>
        <w:ind w:left="426" w:hanging="426"/>
        <w:jc w:val="both"/>
      </w:pPr>
      <w:r>
        <w:t xml:space="preserve">h)   držitele, kterým je obecně prospěšná společnost, občanské sdružení, církevní právnická osoba, nadace nebo nadační fond, která má svoje sídlo na území městského obvodu     Plzeň 4 a </w:t>
      </w:r>
      <w:proofErr w:type="gramStart"/>
      <w:r>
        <w:t>svoji</w:t>
      </w:r>
      <w:proofErr w:type="gramEnd"/>
      <w:r>
        <w:t xml:space="preserve"> náplní činnosti plní veřejně prospěšné cíle pro občany města Plzně v oblasti sociálních služeb, nebo právnická osoba, která vychovává psa pro účely </w:t>
      </w:r>
      <w:proofErr w:type="spellStart"/>
      <w:r>
        <w:t>kanisterapie</w:t>
      </w:r>
      <w:proofErr w:type="spellEnd"/>
      <w:r>
        <w:t xml:space="preserve"> či výchova slepeckých psů. 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ind w:left="408" w:hanging="408"/>
        <w:jc w:val="both"/>
      </w:pPr>
      <w:r>
        <w:rPr>
          <w:sz w:val="24"/>
          <w:szCs w:val="24"/>
        </w:rPr>
        <w:t>(2)</w:t>
      </w:r>
      <w:r>
        <w:rPr>
          <w:sz w:val="14"/>
          <w:szCs w:val="14"/>
        </w:rPr>
        <w:t xml:space="preserve">    </w:t>
      </w:r>
      <w:r>
        <w:rPr>
          <w:b/>
          <w:bCs/>
          <w:sz w:val="24"/>
          <w:szCs w:val="24"/>
        </w:rPr>
        <w:t>Nárok na osvobození</w:t>
      </w:r>
      <w:r>
        <w:rPr>
          <w:sz w:val="24"/>
          <w:szCs w:val="24"/>
        </w:rPr>
        <w:t xml:space="preserve"> od poplatku ze psů je držitel psa povinen prokázat u správce poplatku do 15 dnů ode dne vzniku poplatkové povinnosti.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ind w:left="408" w:hanging="408"/>
        <w:jc w:val="both"/>
      </w:pPr>
      <w:r>
        <w:rPr>
          <w:sz w:val="24"/>
          <w:szCs w:val="24"/>
        </w:rPr>
        <w:t>(3)</w:t>
      </w:r>
      <w:r>
        <w:rPr>
          <w:sz w:val="14"/>
          <w:szCs w:val="14"/>
        </w:rPr>
        <w:t xml:space="preserve">    </w:t>
      </w:r>
      <w:r>
        <w:rPr>
          <w:sz w:val="24"/>
          <w:szCs w:val="24"/>
        </w:rPr>
        <w:t xml:space="preserve">Osvobození od poplatku ze psů zaniká, zanikne-li důvod osvobození. Zánik osvobození je držitel psa povinen písemně ohlásit správci poplatku do 15 dnů ode dne zániku.“.    </w:t>
      </w:r>
    </w:p>
    <w:p w:rsidR="004F16E0" w:rsidRDefault="00F274B8">
      <w:r>
        <w:rPr>
          <w:sz w:val="24"/>
          <w:szCs w:val="24"/>
          <w:vertAlign w:val="superscript"/>
        </w:rPr>
        <w:t> </w:t>
      </w:r>
    </w:p>
    <w:p w:rsidR="004F16E0" w:rsidRDefault="00F274B8">
      <w:pPr>
        <w:jc w:val="both"/>
      </w:pPr>
      <w:r>
        <w:rPr>
          <w:sz w:val="24"/>
          <w:szCs w:val="24"/>
          <w:vertAlign w:val="superscript"/>
        </w:rPr>
        <w:t>5)   </w:t>
      </w:r>
      <w:r>
        <w:rPr>
          <w:sz w:val="24"/>
          <w:szCs w:val="24"/>
        </w:rPr>
        <w:t xml:space="preserve">§ 2 vyhlášky č. 284/1995 Sb., kterou se provádí zákon o důchodovém pojištění – znění § 2  </w:t>
      </w:r>
    </w:p>
    <w:p w:rsidR="004F16E0" w:rsidRDefault="00F274B8">
      <w:pPr>
        <w:jc w:val="both"/>
      </w:pPr>
      <w:r>
        <w:rPr>
          <w:sz w:val="24"/>
          <w:szCs w:val="24"/>
        </w:rPr>
        <w:t xml:space="preserve">     bylo zrušeno, čímž došlo ke změně pojmu „osoby bezmocné“ na „osoby závislé na pomoci </w:t>
      </w:r>
    </w:p>
    <w:p w:rsidR="004F16E0" w:rsidRDefault="00F274B8">
      <w:pPr>
        <w:jc w:val="both"/>
      </w:pPr>
      <w:r>
        <w:rPr>
          <w:sz w:val="24"/>
          <w:szCs w:val="24"/>
        </w:rPr>
        <w:t xml:space="preserve">     jiné fyzické osoby“ viz § 120 odst. 2 zákona č. 108/2006 Sb., o sociálních službách, ve </w:t>
      </w:r>
    </w:p>
    <w:p w:rsidR="004F16E0" w:rsidRDefault="00F274B8">
      <w:pPr>
        <w:jc w:val="both"/>
      </w:pPr>
      <w:r>
        <w:rPr>
          <w:sz w:val="24"/>
          <w:szCs w:val="24"/>
        </w:rPr>
        <w:t>     znění pozdějších předpisů</w:t>
      </w:r>
    </w:p>
    <w:p w:rsidR="004F16E0" w:rsidRDefault="00F274B8">
      <w:pPr>
        <w:jc w:val="both"/>
      </w:pPr>
      <w:proofErr w:type="gramStart"/>
      <w:r>
        <w:rPr>
          <w:sz w:val="24"/>
          <w:szCs w:val="24"/>
          <w:vertAlign w:val="superscript"/>
        </w:rPr>
        <w:t>5a</w:t>
      </w:r>
      <w:proofErr w:type="gramEnd"/>
      <w:r>
        <w:rPr>
          <w:sz w:val="24"/>
          <w:szCs w:val="24"/>
          <w:vertAlign w:val="superscript"/>
        </w:rPr>
        <w:t>)</w:t>
      </w:r>
      <w:r>
        <w:rPr>
          <w:sz w:val="24"/>
          <w:szCs w:val="24"/>
        </w:rPr>
        <w:t xml:space="preserve"> § 86 zákona č. 100/1988 Sb., o sociálním zabezpečení, ve znění pozdějších předpisů. </w:t>
      </w:r>
    </w:p>
    <w:p w:rsidR="004F16E0" w:rsidRDefault="00F274B8">
      <w:pPr>
        <w:jc w:val="both"/>
      </w:pPr>
      <w:r>
        <w:rPr>
          <w:sz w:val="24"/>
          <w:szCs w:val="24"/>
          <w:vertAlign w:val="superscript"/>
        </w:rPr>
        <w:t>5</w:t>
      </w:r>
      <w:proofErr w:type="gramStart"/>
      <w:r>
        <w:rPr>
          <w:sz w:val="24"/>
          <w:szCs w:val="24"/>
          <w:vertAlign w:val="superscript"/>
        </w:rPr>
        <w:t>b)</w:t>
      </w:r>
      <w:r>
        <w:rPr>
          <w:sz w:val="24"/>
          <w:szCs w:val="24"/>
        </w:rPr>
        <w:t xml:space="preserve">  Např.</w:t>
      </w:r>
      <w:proofErr w:type="gramEnd"/>
      <w:r>
        <w:rPr>
          <w:sz w:val="24"/>
          <w:szCs w:val="24"/>
        </w:rPr>
        <w:t xml:space="preserve"> zákon č. 449/2001 Sb., o myslivosti, ve znění pozdějších předpisů.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ind w:left="900" w:hanging="900"/>
        <w:jc w:val="both"/>
      </w:pPr>
      <w:r>
        <w:rPr>
          <w:b/>
          <w:bCs/>
          <w:sz w:val="24"/>
          <w:szCs w:val="24"/>
        </w:rPr>
        <w:lastRenderedPageBreak/>
        <w:t>5.</w:t>
      </w:r>
      <w:r>
        <w:rPr>
          <w:b/>
          <w:bCs/>
          <w:sz w:val="14"/>
          <w:szCs w:val="14"/>
        </w:rPr>
        <w:t xml:space="preserve">        </w:t>
      </w:r>
      <w:r>
        <w:rPr>
          <w:sz w:val="24"/>
          <w:szCs w:val="24"/>
        </w:rPr>
        <w:t xml:space="preserve">V Článku 6 se poznámka pod čarou č. 7 označuje jako poznámka č. 6. 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ind w:left="426" w:hanging="426"/>
        <w:jc w:val="both"/>
      </w:pPr>
      <w:r>
        <w:rPr>
          <w:b/>
          <w:bCs/>
          <w:sz w:val="24"/>
          <w:szCs w:val="24"/>
        </w:rPr>
        <w:t>6.</w:t>
      </w:r>
      <w:r>
        <w:rPr>
          <w:b/>
          <w:bCs/>
          <w:sz w:val="14"/>
          <w:szCs w:val="14"/>
        </w:rPr>
        <w:t xml:space="preserve">        </w:t>
      </w:r>
      <w:r>
        <w:rPr>
          <w:sz w:val="24"/>
          <w:szCs w:val="24"/>
        </w:rPr>
        <w:t>V Článku 6 se ruší text v poznámce pod čarou č. 6 a nahrazuje se textem „§ 127 zákona          č. 280/2009 Sb., daňový řád“.</w:t>
      </w:r>
    </w:p>
    <w:p w:rsidR="004F16E0" w:rsidRDefault="00F274B8">
      <w:pPr>
        <w:ind w:left="900" w:hanging="900"/>
        <w:jc w:val="both"/>
      </w:pPr>
      <w:r>
        <w:rPr>
          <w:b/>
          <w:bCs/>
          <w:sz w:val="24"/>
          <w:szCs w:val="24"/>
        </w:rPr>
        <w:t>7.</w:t>
      </w:r>
      <w:r>
        <w:rPr>
          <w:b/>
          <w:bCs/>
          <w:sz w:val="14"/>
          <w:szCs w:val="14"/>
        </w:rPr>
        <w:t xml:space="preserve">        </w:t>
      </w:r>
      <w:r>
        <w:rPr>
          <w:sz w:val="24"/>
          <w:szCs w:val="24"/>
        </w:rPr>
        <w:t xml:space="preserve">V Článku 7 se ruší číslování odstavců. 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ind w:left="900" w:hanging="900"/>
        <w:jc w:val="both"/>
      </w:pPr>
      <w:r>
        <w:rPr>
          <w:b/>
          <w:bCs/>
          <w:sz w:val="24"/>
          <w:szCs w:val="24"/>
        </w:rPr>
        <w:t>8.</w:t>
      </w:r>
      <w:r>
        <w:rPr>
          <w:b/>
          <w:bCs/>
          <w:sz w:val="14"/>
          <w:szCs w:val="14"/>
        </w:rPr>
        <w:t xml:space="preserve">        </w:t>
      </w:r>
      <w:r>
        <w:rPr>
          <w:sz w:val="24"/>
          <w:szCs w:val="24"/>
        </w:rPr>
        <w:t xml:space="preserve">V Článku 7 se ve větě </w:t>
      </w:r>
      <w:proofErr w:type="gramStart"/>
      <w:r>
        <w:rPr>
          <w:sz w:val="24"/>
          <w:szCs w:val="24"/>
        </w:rPr>
        <w:t>druhé</w:t>
      </w:r>
      <w:proofErr w:type="gramEnd"/>
      <w:r>
        <w:rPr>
          <w:sz w:val="24"/>
          <w:szCs w:val="24"/>
        </w:rPr>
        <w:t xml:space="preserve"> slova „podání platby“ nahrazují slovy „připsání platby na</w:t>
      </w:r>
    </w:p>
    <w:p w:rsidR="004F16E0" w:rsidRDefault="00F274B8">
      <w:pPr>
        <w:jc w:val="both"/>
      </w:pPr>
      <w:r>
        <w:rPr>
          <w:sz w:val="24"/>
          <w:szCs w:val="24"/>
        </w:rPr>
        <w:t>       účet správce poplatku nebo datum přijetí platby v hotovosti správcem poplatku“.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ind w:left="900" w:hanging="900"/>
        <w:jc w:val="both"/>
      </w:pPr>
      <w:r>
        <w:rPr>
          <w:b/>
          <w:bCs/>
          <w:sz w:val="24"/>
          <w:szCs w:val="24"/>
        </w:rPr>
        <w:t>9.</w:t>
      </w:r>
      <w:r>
        <w:rPr>
          <w:b/>
          <w:bCs/>
          <w:sz w:val="14"/>
          <w:szCs w:val="14"/>
        </w:rPr>
        <w:t xml:space="preserve">        </w:t>
      </w:r>
      <w:r>
        <w:rPr>
          <w:sz w:val="24"/>
          <w:szCs w:val="24"/>
        </w:rPr>
        <w:t>V Článku 9 se poznámka pod čarou č. 8 označuje jako poznámka č. 7.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ind w:left="900" w:hanging="900"/>
        <w:jc w:val="both"/>
      </w:pPr>
      <w:r>
        <w:rPr>
          <w:b/>
          <w:bCs/>
          <w:sz w:val="24"/>
          <w:szCs w:val="24"/>
        </w:rPr>
        <w:t>10.</w:t>
      </w:r>
      <w:r>
        <w:rPr>
          <w:b/>
          <w:bCs/>
          <w:sz w:val="14"/>
          <w:szCs w:val="14"/>
        </w:rPr>
        <w:t xml:space="preserve">    </w:t>
      </w:r>
      <w:r>
        <w:rPr>
          <w:sz w:val="24"/>
          <w:szCs w:val="24"/>
        </w:rPr>
        <w:t>Článek 9 se ruší a nahrazuje se novým článkem: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jc w:val="center"/>
      </w:pPr>
      <w:r>
        <w:rPr>
          <w:b/>
          <w:bCs/>
          <w:sz w:val="24"/>
          <w:szCs w:val="24"/>
        </w:rPr>
        <w:t>„Článek 9</w:t>
      </w:r>
    </w:p>
    <w:p w:rsidR="004F16E0" w:rsidRDefault="00F274B8">
      <w:pPr>
        <w:pStyle w:val="Nadpis3"/>
        <w:rPr>
          <w:rFonts w:eastAsia="Times New Roman"/>
        </w:rPr>
      </w:pPr>
      <w:r>
        <w:rPr>
          <w:rFonts w:eastAsia="Times New Roman"/>
        </w:rPr>
        <w:t>Zvýšení poplatku při neplnění povinností poplatníka</w:t>
      </w:r>
    </w:p>
    <w:p w:rsidR="004F16E0" w:rsidRDefault="00F274B8">
      <w:r>
        <w:rPr>
          <w:sz w:val="24"/>
          <w:szCs w:val="24"/>
        </w:rPr>
        <w:t> </w:t>
      </w:r>
    </w:p>
    <w:p w:rsidR="004F16E0" w:rsidRDefault="00F274B8">
      <w:pPr>
        <w:jc w:val="both"/>
      </w:pPr>
      <w:r>
        <w:rPr>
          <w:sz w:val="24"/>
          <w:szCs w:val="24"/>
        </w:rPr>
        <w:t>(1) Nebudou-li poplatky zaplaceny a odvedeny poplatníkem včas nebo ve správné výši, vyměří mu správce poplatku popl</w:t>
      </w:r>
      <w:bookmarkStart w:id="0" w:name="_GoBack"/>
      <w:bookmarkEnd w:id="0"/>
      <w:r>
        <w:rPr>
          <w:sz w:val="24"/>
          <w:szCs w:val="24"/>
        </w:rPr>
        <w:t xml:space="preserve">atek platebním výměrem. 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jc w:val="both"/>
      </w:pPr>
      <w:r>
        <w:rPr>
          <w:sz w:val="24"/>
          <w:szCs w:val="24"/>
        </w:rPr>
        <w:t xml:space="preserve">(2) Včas nezaplacené nebo neodvedené poplatky nebo část těchto poplatků může správce poplatku zvýšit až na trojnásobek; toto zvýšení je příslušenstvím poplatku. </w:t>
      </w:r>
      <w:r>
        <w:rPr>
          <w:sz w:val="24"/>
          <w:szCs w:val="24"/>
          <w:vertAlign w:val="superscript"/>
        </w:rPr>
        <w:t>7)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jc w:val="both"/>
      </w:pPr>
      <w:r>
        <w:rPr>
          <w:sz w:val="24"/>
          <w:szCs w:val="24"/>
        </w:rPr>
        <w:t>(3) Penále, úroky a pokuty, upravené daňovým řádem, s výjimkou pořádkových pokut, se neuplatňují.“.</w:t>
      </w:r>
    </w:p>
    <w:p w:rsidR="004F16E0" w:rsidRDefault="00F274B8">
      <w:r>
        <w:rPr>
          <w:sz w:val="24"/>
          <w:szCs w:val="24"/>
        </w:rPr>
        <w:t> </w:t>
      </w:r>
    </w:p>
    <w:p w:rsidR="004F16E0" w:rsidRDefault="00F274B8">
      <w:r>
        <w:rPr>
          <w:sz w:val="24"/>
          <w:szCs w:val="24"/>
          <w:vertAlign w:val="superscript"/>
        </w:rPr>
        <w:t xml:space="preserve">7) </w:t>
      </w:r>
      <w:r>
        <w:rPr>
          <w:sz w:val="24"/>
          <w:szCs w:val="24"/>
        </w:rPr>
        <w:t>§ 11 zákona č. 565/1990 Sb., o místních poplatcích, ve znění pozdějších předpisů.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ind w:left="900" w:hanging="900"/>
        <w:jc w:val="both"/>
      </w:pPr>
      <w:r>
        <w:rPr>
          <w:b/>
          <w:bCs/>
          <w:sz w:val="24"/>
          <w:szCs w:val="24"/>
        </w:rPr>
        <w:t>11.</w:t>
      </w:r>
      <w:r>
        <w:rPr>
          <w:b/>
          <w:bCs/>
          <w:sz w:val="14"/>
          <w:szCs w:val="14"/>
        </w:rPr>
        <w:t xml:space="preserve">    </w:t>
      </w:r>
      <w:r>
        <w:rPr>
          <w:sz w:val="24"/>
          <w:szCs w:val="24"/>
        </w:rPr>
        <w:t xml:space="preserve">Za článek 9 se vkládá nový článek 10, který zní: 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jc w:val="center"/>
      </w:pPr>
      <w:r>
        <w:rPr>
          <w:b/>
          <w:bCs/>
          <w:sz w:val="24"/>
          <w:szCs w:val="24"/>
        </w:rPr>
        <w:t>„Článek 10</w:t>
      </w:r>
    </w:p>
    <w:p w:rsidR="004F16E0" w:rsidRDefault="00F274B8">
      <w:pPr>
        <w:pStyle w:val="Nadpis3"/>
        <w:rPr>
          <w:rFonts w:eastAsia="Times New Roman"/>
        </w:rPr>
      </w:pPr>
      <w:r>
        <w:rPr>
          <w:rFonts w:eastAsia="Times New Roman"/>
        </w:rPr>
        <w:t>Sankce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jc w:val="both"/>
      </w:pPr>
      <w:r>
        <w:rPr>
          <w:sz w:val="24"/>
          <w:szCs w:val="24"/>
        </w:rPr>
        <w:t xml:space="preserve">„Pokud poplatník nesplní svoji procesní povinnost nepeněžité povahy, která mu byla stanovena zákonem nebo správcem daně, může mu správce poplatku uložit pokutu podle zvláštního předpisu </w:t>
      </w:r>
      <w:r>
        <w:rPr>
          <w:sz w:val="24"/>
          <w:szCs w:val="24"/>
          <w:vertAlign w:val="superscript"/>
        </w:rPr>
        <w:t>8)</w:t>
      </w:r>
      <w:r>
        <w:rPr>
          <w:sz w:val="24"/>
          <w:szCs w:val="24"/>
        </w:rPr>
        <w:t>.“.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jc w:val="both"/>
      </w:pPr>
      <w:r>
        <w:rPr>
          <w:sz w:val="24"/>
          <w:szCs w:val="24"/>
          <w:vertAlign w:val="superscript"/>
        </w:rPr>
        <w:t xml:space="preserve">8) </w:t>
      </w:r>
      <w:r>
        <w:rPr>
          <w:sz w:val="24"/>
          <w:szCs w:val="24"/>
        </w:rPr>
        <w:t>§ 247 až 249 zákona č. 280/2009 Sb., daňový řád.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jc w:val="both"/>
      </w:pPr>
      <w:r>
        <w:rPr>
          <w:sz w:val="24"/>
          <w:szCs w:val="24"/>
        </w:rPr>
        <w:t>Dosavadní článek 10 se označuje jako článek 11.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ind w:left="900" w:hanging="900"/>
        <w:jc w:val="both"/>
      </w:pPr>
      <w:r>
        <w:rPr>
          <w:b/>
          <w:bCs/>
          <w:sz w:val="24"/>
          <w:szCs w:val="24"/>
        </w:rPr>
        <w:t>12.</w:t>
      </w:r>
      <w:r>
        <w:rPr>
          <w:b/>
          <w:bCs/>
          <w:sz w:val="14"/>
          <w:szCs w:val="14"/>
        </w:rPr>
        <w:t xml:space="preserve">    </w:t>
      </w:r>
      <w:r>
        <w:rPr>
          <w:sz w:val="24"/>
          <w:szCs w:val="24"/>
        </w:rPr>
        <w:t>V Článku 11 se za odst. 3 vkládá nový odst. 4, který zní: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jc w:val="both"/>
      </w:pPr>
      <w:r>
        <w:rPr>
          <w:sz w:val="24"/>
          <w:szCs w:val="24"/>
        </w:rPr>
        <w:t>„(4) Žádosti o prominutí poplatku nebo jeho příslušenství, které byly podány podle dosavadních právních předpisů a které nebyly vyřízeny do dne nabytí účinnosti zákona          č. 281/2009 Sb., kterým se mění některé zákony v souvislosti s přijetím daňového řádu, se posoudí podle podmínek obsažených v dosavadních právních předpisech.“.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pStyle w:val="Normlnweb"/>
      </w:pPr>
      <w:r>
        <w:lastRenderedPageBreak/>
        <w:t>Dosavadní odst. (4) se označuje jako odst. (5).</w:t>
      </w:r>
    </w:p>
    <w:tbl>
      <w:tblPr>
        <w:tblW w:w="9283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850"/>
        <w:gridCol w:w="495"/>
      </w:tblGrid>
      <w:tr w:rsidR="004F16E0">
        <w:tc>
          <w:tcPr>
            <w:tcW w:w="793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r>
              <w:rPr>
                <w:sz w:val="24"/>
                <w:szCs w:val="24"/>
              </w:rPr>
              <w:t> </w:t>
            </w:r>
          </w:p>
          <w:p w:rsidR="004F16E0" w:rsidRDefault="00F274B8">
            <w:r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F16E0" w:rsidRDefault="00F274B8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jc w:val="both"/>
      </w:pPr>
      <w:r>
        <w:rPr>
          <w:sz w:val="24"/>
          <w:szCs w:val="24"/>
        </w:rPr>
        <w:t> </w:t>
      </w:r>
    </w:p>
    <w:p w:rsidR="004F16E0" w:rsidRDefault="00F274B8">
      <w:pPr>
        <w:pStyle w:val="Zkladntext2"/>
        <w:jc w:val="center"/>
      </w:pPr>
      <w:r>
        <w:rPr>
          <w:b/>
          <w:bCs/>
        </w:rPr>
        <w:t xml:space="preserve">Čl.  II </w:t>
      </w:r>
    </w:p>
    <w:p w:rsidR="004F16E0" w:rsidRDefault="00F274B8">
      <w:pPr>
        <w:pStyle w:val="Zkladntext2"/>
        <w:jc w:val="center"/>
      </w:pPr>
      <w:r>
        <w:rPr>
          <w:b/>
          <w:bCs/>
        </w:rPr>
        <w:t> </w:t>
      </w:r>
    </w:p>
    <w:p w:rsidR="004F16E0" w:rsidRDefault="00F274B8">
      <w:pPr>
        <w:pStyle w:val="Zkladntext2"/>
      </w:pPr>
      <w:r>
        <w:t xml:space="preserve">1) Magistrát města Plzně se zmocňuje k vydání úplného znění vyhlášky o místním poplatku ze psů. </w:t>
      </w:r>
    </w:p>
    <w:p w:rsidR="004F16E0" w:rsidRDefault="00F274B8">
      <w:pPr>
        <w:pStyle w:val="Zkladntext2"/>
      </w:pPr>
      <w:r>
        <w:rPr>
          <w:b/>
          <w:bCs/>
        </w:rPr>
        <w:t> </w:t>
      </w:r>
    </w:p>
    <w:p w:rsidR="004F16E0" w:rsidRDefault="00F274B8">
      <w:pPr>
        <w:pStyle w:val="Zkladntext2"/>
      </w:pPr>
      <w:r>
        <w:t xml:space="preserve">2) Tato obecně závazná </w:t>
      </w:r>
      <w:proofErr w:type="gramStart"/>
      <w:r>
        <w:t>vyhláška  nabývá</w:t>
      </w:r>
      <w:proofErr w:type="gramEnd"/>
      <w:r>
        <w:t>  účinnosti dnem 1. ledna 2011.</w:t>
      </w:r>
    </w:p>
    <w:p w:rsidR="004F16E0" w:rsidRDefault="00F274B8">
      <w:pPr>
        <w:pStyle w:val="Zkladntext2"/>
        <w:jc w:val="both"/>
      </w:pPr>
      <w:r>
        <w:t> </w:t>
      </w:r>
    </w:p>
    <w:p w:rsidR="004F16E0" w:rsidRDefault="00F274B8">
      <w:pPr>
        <w:pStyle w:val="Zkladntext2"/>
        <w:jc w:val="both"/>
      </w:pPr>
      <w:r>
        <w:t> </w:t>
      </w:r>
    </w:p>
    <w:p w:rsidR="004F16E0" w:rsidRDefault="00F274B8">
      <w:pPr>
        <w:pStyle w:val="Zkladntext2"/>
        <w:jc w:val="both"/>
      </w:pPr>
      <w:r>
        <w:t> </w:t>
      </w:r>
    </w:p>
    <w:p w:rsidR="004F16E0" w:rsidRDefault="00F274B8">
      <w:pPr>
        <w:pStyle w:val="Zkladntext2"/>
        <w:jc w:val="both"/>
      </w:pPr>
      <w:r>
        <w:t> </w:t>
      </w:r>
    </w:p>
    <w:p w:rsidR="004F16E0" w:rsidRDefault="00F274B8">
      <w:pPr>
        <w:pStyle w:val="Zkladntext2"/>
        <w:jc w:val="both"/>
      </w:pPr>
      <w:r>
        <w:t> </w:t>
      </w:r>
    </w:p>
    <w:p w:rsidR="004F16E0" w:rsidRDefault="00F274B8">
      <w:pPr>
        <w:pStyle w:val="Zkladntext2"/>
        <w:jc w:val="both"/>
      </w:pPr>
      <w:r>
        <w:rPr>
          <w:b/>
          <w:bCs/>
        </w:rPr>
        <w:t> </w:t>
      </w:r>
    </w:p>
    <w:p w:rsidR="004F16E0" w:rsidRDefault="00F274B8">
      <w:pPr>
        <w:pStyle w:val="Zkladntext2"/>
        <w:jc w:val="both"/>
      </w:pPr>
      <w:r>
        <w:rPr>
          <w:b/>
          <w:bCs/>
        </w:rPr>
        <w:t xml:space="preserve">  Ing. Pavel </w:t>
      </w:r>
      <w:proofErr w:type="spellStart"/>
      <w:r>
        <w:rPr>
          <w:b/>
          <w:bCs/>
        </w:rPr>
        <w:t>Rödl</w:t>
      </w:r>
      <w:proofErr w:type="spellEnd"/>
      <w:r>
        <w:rPr>
          <w:b/>
          <w:bCs/>
        </w:rPr>
        <w:t xml:space="preserve">                                                               doc. Ing. Vladimír Duchek, </w:t>
      </w:r>
      <w:proofErr w:type="spellStart"/>
      <w:r>
        <w:rPr>
          <w:b/>
          <w:bCs/>
        </w:rPr>
        <w:t>Ph</w:t>
      </w:r>
      <w:proofErr w:type="spellEnd"/>
      <w:r>
        <w:rPr>
          <w:b/>
          <w:bCs/>
        </w:rPr>
        <w:t>. D.</w:t>
      </w:r>
    </w:p>
    <w:p w:rsidR="004F16E0" w:rsidRDefault="00F274B8">
      <w:pPr>
        <w:pStyle w:val="Zkladntext2"/>
        <w:jc w:val="both"/>
      </w:pPr>
      <w:r>
        <w:rPr>
          <w:b/>
          <w:bCs/>
        </w:rPr>
        <w:t> </w:t>
      </w:r>
    </w:p>
    <w:p w:rsidR="004F16E0" w:rsidRDefault="00F274B8">
      <w:pPr>
        <w:pStyle w:val="Zkladntext2"/>
        <w:jc w:val="both"/>
      </w:pPr>
      <w:r>
        <w:t> primátor města Plzně                                                           náměstek primátora města Plzně</w:t>
      </w:r>
    </w:p>
    <w:sectPr w:rsidR="004F16E0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B8"/>
    <w:rsid w:val="004F16E0"/>
    <w:rsid w:val="008F68C1"/>
    <w:rsid w:val="00F2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ECD7C-A22F-44C2-8622-B890AA88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Theme="minorEastAsia"/>
    </w:rPr>
  </w:style>
  <w:style w:type="paragraph" w:styleId="Nadpis1">
    <w:name w:val="heading 1"/>
    <w:basedOn w:val="Normln"/>
    <w:link w:val="Nadpis1Char"/>
    <w:uiPriority w:val="9"/>
    <w:qFormat/>
    <w:pPr>
      <w:keepNext/>
      <w:outlineLvl w:val="0"/>
    </w:pPr>
    <w:rPr>
      <w:kern w:val="36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pPr>
      <w:keepNext/>
      <w:jc w:val="center"/>
      <w:outlineLvl w:val="1"/>
    </w:pPr>
    <w:rPr>
      <w:b/>
      <w:bCs/>
      <w:sz w:val="24"/>
      <w:szCs w:val="24"/>
      <w:u w:val="single"/>
    </w:rPr>
  </w:style>
  <w:style w:type="paragraph" w:styleId="Nadpis3">
    <w:name w:val="heading 3"/>
    <w:basedOn w:val="Normln"/>
    <w:link w:val="Nadpis3Char"/>
    <w:uiPriority w:val="9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Nadpis6">
    <w:name w:val="heading 6"/>
    <w:basedOn w:val="Normln"/>
    <w:link w:val="Nadpis6Char"/>
    <w:uiPriority w:val="9"/>
    <w:qFormat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link w:val="Nadpis7Char"/>
    <w:uiPriority w:val="9"/>
    <w:qFormat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link w:val="Nadpis8Char"/>
    <w:uiPriority w:val="9"/>
    <w:qFormat/>
    <w:pPr>
      <w:keepNext/>
      <w:jc w:val="both"/>
      <w:outlineLvl w:val="7"/>
    </w:pPr>
    <w:rPr>
      <w:b/>
      <w:bCs/>
    </w:rPr>
  </w:style>
  <w:style w:type="paragraph" w:styleId="Nadpis9">
    <w:name w:val="heading 9"/>
    <w:basedOn w:val="Normln"/>
    <w:link w:val="Nadpis9Char"/>
    <w:uiPriority w:val="9"/>
    <w:qFormat/>
    <w:pPr>
      <w:keepNext/>
      <w:outlineLvl w:val="8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kladntext">
    <w:name w:val="Body Text"/>
    <w:basedOn w:val="Normln"/>
    <w:link w:val="ZkladntextChar"/>
    <w:uiPriority w:val="99"/>
    <w:semiHidden/>
    <w:unhideWhenUsed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eastAsiaTheme="minorEastAsia"/>
    </w:rPr>
  </w:style>
  <w:style w:type="paragraph" w:styleId="Zkladntext2">
    <w:name w:val="Body Text 2"/>
    <w:basedOn w:val="Normln"/>
    <w:link w:val="Zkladntext2Char"/>
    <w:uiPriority w:val="99"/>
    <w:semiHidden/>
    <w:unhideWhenUsed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eastAsiaTheme="minorEastAsi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eastAsiaTheme="minorEastAsi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Theme="minorEastAsia" w:hAnsi="Tahoma" w:cs="Tahoma"/>
      <w:sz w:val="16"/>
      <w:szCs w:val="16"/>
    </w:rPr>
  </w:style>
  <w:style w:type="paragraph" w:customStyle="1" w:styleId="vlevo">
    <w:name w:val="vlevo"/>
    <w:basedOn w:val="Normln"/>
    <w:pPr>
      <w:ind w:left="357"/>
      <w:jc w:val="both"/>
    </w:pPr>
    <w:rPr>
      <w:sz w:val="24"/>
      <w:szCs w:val="24"/>
    </w:rPr>
  </w:style>
  <w:style w:type="paragraph" w:customStyle="1" w:styleId="ostzahl">
    <w:name w:val="ostzahl"/>
    <w:basedOn w:val="Normln"/>
    <w:pPr>
      <w:spacing w:before="240" w:after="240"/>
      <w:ind w:left="357" w:hanging="357"/>
    </w:pPr>
    <w:rPr>
      <w:b/>
      <w:bCs/>
      <w:spacing w:val="2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1060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 Dušan</dc:creator>
  <cp:keywords/>
  <dc:description/>
  <cp:lastModifiedBy>Jirková Michaela</cp:lastModifiedBy>
  <cp:revision>2</cp:revision>
  <dcterms:created xsi:type="dcterms:W3CDTF">2023-02-27T08:47:00Z</dcterms:created>
  <dcterms:modified xsi:type="dcterms:W3CDTF">2023-02-27T08:47:00Z</dcterms:modified>
</cp:coreProperties>
</file>