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739E3" w14:textId="03BBADD6" w:rsidR="00CD1E87" w:rsidRPr="00CD1E87" w:rsidRDefault="00CD1E87" w:rsidP="00CD1E87">
      <w:pPr>
        <w:spacing w:after="0"/>
        <w:jc w:val="center"/>
        <w:rPr>
          <w:rFonts w:asciiTheme="minorHAnsi" w:hAnsiTheme="minorHAnsi" w:cstheme="minorHAnsi"/>
          <w:b/>
          <w:color w:val="FF6600"/>
          <w:sz w:val="44"/>
          <w:szCs w:val="44"/>
        </w:rPr>
      </w:pPr>
      <w:r w:rsidRPr="00CD1E87">
        <w:rPr>
          <w:rFonts w:asciiTheme="minorHAnsi" w:hAnsiTheme="minorHAnsi" w:cstheme="minorHAnsi"/>
          <w:b/>
          <w:color w:val="FF6600"/>
          <w:sz w:val="44"/>
          <w:szCs w:val="44"/>
        </w:rPr>
        <w:t>ORANŽOVÉ ZÓNY</w:t>
      </w:r>
    </w:p>
    <w:p w14:paraId="64EDC1F8" w14:textId="77777777" w:rsidR="00CD1E87" w:rsidRDefault="00CD1E87" w:rsidP="0023665F">
      <w:pPr>
        <w:spacing w:after="0" w:line="240" w:lineRule="auto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73F9648C" w14:textId="668A7E08" w:rsidR="00DB545A" w:rsidRPr="00522DFD" w:rsidRDefault="00DB545A" w:rsidP="0023665F">
      <w:pPr>
        <w:spacing w:after="0" w:line="240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 w:rsidRPr="00522DFD">
        <w:rPr>
          <w:rFonts w:asciiTheme="minorHAnsi" w:hAnsiTheme="minorHAnsi" w:cstheme="minorHAnsi"/>
          <w:b/>
          <w:sz w:val="28"/>
          <w:szCs w:val="28"/>
        </w:rPr>
        <w:t xml:space="preserve">Seznam místních komunikací nebo jejich určených úseků pro účely placeného stání </w:t>
      </w:r>
      <w:r w:rsidR="00E570E7" w:rsidRPr="00522DFD">
        <w:rPr>
          <w:rFonts w:asciiTheme="minorHAnsi" w:hAnsiTheme="minorHAnsi" w:cstheme="minorHAnsi"/>
          <w:b/>
          <w:sz w:val="28"/>
          <w:szCs w:val="28"/>
        </w:rPr>
        <w:t xml:space="preserve">silničních </w:t>
      </w:r>
      <w:r w:rsidRPr="00522DFD">
        <w:rPr>
          <w:rFonts w:asciiTheme="minorHAnsi" w:hAnsiTheme="minorHAnsi" w:cstheme="minorHAnsi"/>
          <w:b/>
          <w:sz w:val="28"/>
          <w:szCs w:val="28"/>
        </w:rPr>
        <w:t>motorových vozidel – parkování s parkovacím automatem</w:t>
      </w:r>
    </w:p>
    <w:p w14:paraId="41933E5A" w14:textId="77777777" w:rsidR="00DB545A" w:rsidRDefault="00DB545A" w:rsidP="003C31AA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5B01E4E5" w14:textId="0A5E45CC" w:rsidR="009A03D4" w:rsidRPr="009A03D4" w:rsidRDefault="009A03D4" w:rsidP="003C31AA">
      <w:pPr>
        <w:spacing w:after="120" w:line="240" w:lineRule="auto"/>
        <w:jc w:val="both"/>
        <w:rPr>
          <w:rFonts w:asciiTheme="minorHAnsi" w:hAnsiTheme="minorHAnsi" w:cstheme="minorHAnsi"/>
          <w:b/>
          <w:color w:val="FF6600"/>
          <w:sz w:val="24"/>
          <w:szCs w:val="24"/>
          <w:shd w:val="clear" w:color="auto" w:fill="FDFDFD"/>
        </w:rPr>
      </w:pPr>
      <w:r w:rsidRPr="009A03D4">
        <w:rPr>
          <w:rFonts w:asciiTheme="minorHAnsi" w:hAnsiTheme="minorHAnsi" w:cstheme="minorHAnsi"/>
          <w:b/>
          <w:color w:val="FF6600"/>
          <w:sz w:val="24"/>
          <w:szCs w:val="24"/>
          <w:shd w:val="clear" w:color="auto" w:fill="FDFDFD"/>
        </w:rPr>
        <w:t xml:space="preserve">A) </w:t>
      </w:r>
      <w:r>
        <w:rPr>
          <w:rFonts w:asciiTheme="minorHAnsi" w:hAnsiTheme="minorHAnsi" w:cstheme="minorHAnsi"/>
          <w:b/>
          <w:color w:val="FF6600"/>
          <w:sz w:val="24"/>
          <w:szCs w:val="24"/>
          <w:shd w:val="clear" w:color="auto" w:fill="FDFDFD"/>
        </w:rPr>
        <w:t>c</w:t>
      </w:r>
      <w:r w:rsidRPr="009A03D4">
        <w:rPr>
          <w:rFonts w:asciiTheme="minorHAnsi" w:hAnsiTheme="minorHAnsi" w:cstheme="minorHAnsi"/>
          <w:b/>
          <w:color w:val="FF6600"/>
          <w:sz w:val="24"/>
          <w:szCs w:val="24"/>
          <w:shd w:val="clear" w:color="auto" w:fill="FDFDFD"/>
        </w:rPr>
        <w:t>entrum</w:t>
      </w:r>
      <w:r>
        <w:rPr>
          <w:rFonts w:asciiTheme="minorHAnsi" w:hAnsiTheme="minorHAnsi" w:cstheme="minorHAnsi"/>
          <w:b/>
          <w:color w:val="FF6600"/>
          <w:sz w:val="24"/>
          <w:szCs w:val="24"/>
          <w:shd w:val="clear" w:color="auto" w:fill="FDFDFD"/>
        </w:rPr>
        <w:t xml:space="preserve"> města</w:t>
      </w:r>
    </w:p>
    <w:p w14:paraId="155DA36C" w14:textId="10A3124E" w:rsidR="003C31AA" w:rsidRPr="00DB254F" w:rsidRDefault="003C31AA" w:rsidP="003C31AA">
      <w:pPr>
        <w:spacing w:after="120" w:line="240" w:lineRule="auto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  <w:shd w:val="clear" w:color="auto" w:fill="FDFDFD"/>
        </w:rPr>
      </w:pPr>
      <w:r w:rsidRPr="00DB254F"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  <w:shd w:val="clear" w:color="auto" w:fill="FDFDFD"/>
        </w:rPr>
        <w:t xml:space="preserve">Místní komunikace nebo jejich určené úseky s placeným stáním </w:t>
      </w:r>
    </w:p>
    <w:p w14:paraId="4BAA88C4" w14:textId="1AAF8B3F" w:rsidR="003C31AA" w:rsidRDefault="00DB545A" w:rsidP="003C31AA">
      <w:pPr>
        <w:pStyle w:val="Odstavecseseznamem"/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  <w:r w:rsidRPr="00727E9A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- </w:t>
      </w:r>
      <w:r w:rsidR="0023665F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</w:t>
      </w:r>
      <w:r w:rsidR="0023665F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ab/>
      </w:r>
      <w:r w:rsidR="003C31AA"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DFDFD"/>
        </w:rPr>
        <w:t xml:space="preserve">ulice </w:t>
      </w:r>
      <w:r w:rsidR="003C31AA" w:rsidRPr="00DB254F"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DFDFD"/>
        </w:rPr>
        <w:t>Fügnerova</w:t>
      </w:r>
      <w:r w:rsidR="003C31AA" w:rsidRPr="00727E9A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– vyznačené plochy na </w:t>
      </w:r>
      <w:r w:rsidR="003C31AA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pozemcích </w:t>
      </w:r>
      <w:r w:rsidR="003C31AA" w:rsidRPr="00727E9A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parc. č. </w:t>
      </w:r>
      <w:r w:rsidR="003C31AA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1673/1, 1673/2, 1671/2 v k.ú. Hořovice</w:t>
      </w:r>
    </w:p>
    <w:p w14:paraId="21514620" w14:textId="688B2E5C" w:rsidR="003C31AA" w:rsidRDefault="003C31AA" w:rsidP="003C31AA">
      <w:pPr>
        <w:pStyle w:val="Odstavecseseznamem"/>
        <w:numPr>
          <w:ilvl w:val="2"/>
          <w:numId w:val="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522DFD"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DFDFD"/>
        </w:rPr>
        <w:t>Náměstí Svobody</w:t>
      </w:r>
      <w:r w:rsidRPr="00522DFD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– na vyznačených místech</w:t>
      </w:r>
      <w:r w:rsidR="009715A6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, tj.</w:t>
      </w:r>
      <w:r w:rsidRPr="00522DFD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</w:t>
      </w:r>
      <w:r w:rsidRPr="00522DF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  <w:shd w:val="clear" w:color="auto" w:fill="FDFDFD"/>
        </w:rPr>
        <w:t>i.</w:t>
      </w:r>
      <w:r w:rsidRPr="00522DFD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před budovou čp. 194 (čelní část), </w:t>
      </w:r>
      <w:r w:rsidR="009715A6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br/>
      </w:r>
      <w:r w:rsidRPr="00522DF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  <w:shd w:val="clear" w:color="auto" w:fill="FDFDFD"/>
        </w:rPr>
        <w:t>ii.</w:t>
      </w:r>
      <w:r w:rsidRPr="00522DFD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před budovou čp. 194 (boční část), </w:t>
      </w:r>
      <w:r w:rsidRPr="00522DF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  <w:shd w:val="clear" w:color="auto" w:fill="FDFDFD"/>
        </w:rPr>
        <w:t>iii.</w:t>
      </w:r>
      <w:r w:rsidRPr="00522DFD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podél</w:t>
      </w:r>
      <w:r w:rsidR="001C60F7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ně</w:t>
      </w:r>
      <w:r w:rsidRPr="00522DFD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s ulicí 9. května, </w:t>
      </w:r>
      <w:r w:rsidRPr="00522DF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  <w:shd w:val="clear" w:color="auto" w:fill="FDFDFD"/>
        </w:rPr>
        <w:t>iv.</w:t>
      </w:r>
      <w:r w:rsidRPr="00522DFD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před budovou čp. 193</w:t>
      </w:r>
    </w:p>
    <w:p w14:paraId="48CBE753" w14:textId="42F35CC9" w:rsidR="00DB545A" w:rsidRPr="00522DFD" w:rsidRDefault="00DB545A" w:rsidP="00522DFD">
      <w:pPr>
        <w:pStyle w:val="Odstavecseseznamem"/>
        <w:numPr>
          <w:ilvl w:val="2"/>
          <w:numId w:val="3"/>
        </w:numPr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522DFD"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DFDFD"/>
        </w:rPr>
        <w:t>Palackého</w:t>
      </w:r>
      <w:r w:rsidR="00522DFD"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DFDFD"/>
        </w:rPr>
        <w:t xml:space="preserve"> </w:t>
      </w:r>
      <w:r w:rsidR="00522DFD" w:rsidRPr="00522DFD"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DFDFD"/>
        </w:rPr>
        <w:t>náměstí</w:t>
      </w:r>
      <w:r w:rsidR="00522DFD"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DFDFD"/>
        </w:rPr>
        <w:t xml:space="preserve"> </w:t>
      </w:r>
      <w:r w:rsidR="00522DFD" w:rsidRPr="003C31AA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– celé</w:t>
      </w:r>
      <w:r w:rsidR="0044733C" w:rsidRPr="003C31AA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náměstí </w:t>
      </w:r>
      <w:r w:rsidRPr="003C31AA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vyjma </w:t>
      </w:r>
      <w:r w:rsidR="0044733C" w:rsidRPr="00522DF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  <w:shd w:val="clear" w:color="auto" w:fill="FDFDFD"/>
        </w:rPr>
        <w:t>i.</w:t>
      </w:r>
      <w:r w:rsidR="0044733C" w:rsidRPr="003C31AA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</w:t>
      </w:r>
      <w:r w:rsidRPr="003C31AA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parkovacích míst před městským úřadem na východní straně náměstí, </w:t>
      </w:r>
      <w:r w:rsidR="0044733C" w:rsidRPr="00522DF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  <w:shd w:val="clear" w:color="auto" w:fill="FDFDFD"/>
        </w:rPr>
        <w:t>ii.</w:t>
      </w:r>
      <w:r w:rsidR="0044733C" w:rsidRPr="003C31AA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</w:t>
      </w:r>
      <w:r w:rsidRPr="003C31AA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parkoviště před severní stranou budovy čp. 640</w:t>
      </w:r>
      <w:r w:rsidR="0044733C" w:rsidRPr="003C31AA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, </w:t>
      </w:r>
      <w:r w:rsidR="0044733C" w:rsidRPr="00522DF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  <w:shd w:val="clear" w:color="auto" w:fill="FDFDFD"/>
        </w:rPr>
        <w:t xml:space="preserve">iii. </w:t>
      </w:r>
      <w:r w:rsidRPr="003C31AA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severní části náměstí, </w:t>
      </w:r>
      <w:r w:rsidR="0044733C" w:rsidRPr="00522DF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  <w:shd w:val="clear" w:color="auto" w:fill="FDFDFD"/>
        </w:rPr>
        <w:t>iv.</w:t>
      </w:r>
      <w:r w:rsidR="0044733C" w:rsidRPr="003C31AA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</w:t>
      </w:r>
      <w:r w:rsidRPr="003C31AA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20 m</w:t>
      </w:r>
      <w:r w:rsidRPr="003C31AA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  <w:vertAlign w:val="superscript"/>
        </w:rPr>
        <w:t>2</w:t>
      </w:r>
      <w:r w:rsidRPr="003C31AA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vyznačených před budovou čp. 100, </w:t>
      </w:r>
      <w:r w:rsidR="0044733C" w:rsidRPr="00522DF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  <w:shd w:val="clear" w:color="auto" w:fill="FDFDFD"/>
        </w:rPr>
        <w:t>v.</w:t>
      </w:r>
      <w:r w:rsidR="0044733C" w:rsidRPr="003C31AA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</w:t>
      </w:r>
      <w:r w:rsidRPr="003C31AA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12 m</w:t>
      </w:r>
      <w:r w:rsidRPr="003C31AA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  <w:vertAlign w:val="superscript"/>
        </w:rPr>
        <w:t>2</w:t>
      </w:r>
      <w:r w:rsidRPr="003C31AA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</w:t>
      </w:r>
      <w:r w:rsidR="00E570E7" w:rsidRPr="003C31AA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vyznačených </w:t>
      </w:r>
      <w:r w:rsidRPr="003C31AA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před budovou čp. 98 a </w:t>
      </w:r>
      <w:r w:rsidR="0044733C" w:rsidRPr="00522DFD"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  <w:shd w:val="clear" w:color="auto" w:fill="FDFDFD"/>
        </w:rPr>
        <w:t>vi.</w:t>
      </w:r>
      <w:r w:rsidR="0044733C" w:rsidRPr="003C31AA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</w:t>
      </w:r>
      <w:r w:rsidRPr="003C31AA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45 m</w:t>
      </w:r>
      <w:r w:rsidRPr="003C31AA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  <w:vertAlign w:val="superscript"/>
        </w:rPr>
        <w:t>2</w:t>
      </w:r>
      <w:r w:rsidRPr="003C31AA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vyznačených na jižní straně budovy čp. 640</w:t>
      </w:r>
    </w:p>
    <w:p w14:paraId="517632D1" w14:textId="1163E34E" w:rsidR="00DB545A" w:rsidRPr="00727E9A" w:rsidRDefault="00DB545A" w:rsidP="00522DFD">
      <w:pPr>
        <w:pStyle w:val="Odstavecseseznamem"/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  <w:r w:rsidRPr="00727E9A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>-</w:t>
      </w:r>
      <w:r w:rsidRPr="00727E9A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ab/>
      </w:r>
      <w:r w:rsidR="00635444" w:rsidRPr="00522DFD"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DFDFD"/>
        </w:rPr>
        <w:t xml:space="preserve">ulice </w:t>
      </w:r>
      <w:r w:rsidRPr="00522DFD">
        <w:rPr>
          <w:rFonts w:asciiTheme="minorHAnsi" w:hAnsiTheme="minorHAnsi" w:cstheme="minorHAnsi"/>
          <w:b/>
          <w:color w:val="000000" w:themeColor="text1"/>
          <w:sz w:val="24"/>
          <w:szCs w:val="24"/>
          <w:shd w:val="clear" w:color="auto" w:fill="FDFDFD"/>
        </w:rPr>
        <w:t>Žižkova</w:t>
      </w:r>
      <w:r w:rsidRPr="00727E9A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  <w:t xml:space="preserve"> – vyznačená plocha naproti budově čp. 106</w:t>
      </w:r>
    </w:p>
    <w:p w14:paraId="3E8869B2" w14:textId="1CD30671" w:rsidR="00DB545A" w:rsidRDefault="00DB545A" w:rsidP="00522DFD">
      <w:pPr>
        <w:pStyle w:val="Odstavecseseznamem"/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</w:p>
    <w:p w14:paraId="4B4595B6" w14:textId="65C35C5F" w:rsidR="00817113" w:rsidRPr="00817113" w:rsidRDefault="00817113" w:rsidP="00817113">
      <w:pPr>
        <w:pStyle w:val="Odstavecseseznamem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</w:pPr>
      <w:r w:rsidRPr="00817113"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t>Obr. č. 1 - grafické znázornění úseků placeného stání v ulicích Fügnerova, Náměstí Svobody, Palackého náměstí, Žižkova</w:t>
      </w:r>
    </w:p>
    <w:p w14:paraId="4518A0C0" w14:textId="77777777" w:rsidR="00817113" w:rsidRDefault="00817113" w:rsidP="00522DFD">
      <w:pPr>
        <w:pStyle w:val="Odstavecseseznamem"/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</w:p>
    <w:p w14:paraId="395A1C0D" w14:textId="1195BAD9" w:rsidR="002356DC" w:rsidRDefault="002356DC" w:rsidP="00522DFD">
      <w:pPr>
        <w:pStyle w:val="Odstavecseseznamem"/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  <w:r>
        <w:rPr>
          <w:noProof/>
        </w:rPr>
        <w:drawing>
          <wp:inline distT="0" distB="0" distL="0" distR="0" wp14:anchorId="5717DAF4" wp14:editId="4876B4CA">
            <wp:extent cx="5760720" cy="3467735"/>
            <wp:effectExtent l="0" t="0" r="0" b="0"/>
            <wp:docPr id="112783677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6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1D81C" w14:textId="77777777" w:rsidR="002356DC" w:rsidRDefault="002356DC" w:rsidP="00522DFD">
      <w:pPr>
        <w:pStyle w:val="Odstavecseseznamem"/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</w:p>
    <w:p w14:paraId="27023E05" w14:textId="2DFA583E" w:rsidR="00817113" w:rsidRPr="00817113" w:rsidRDefault="00817113" w:rsidP="00817113">
      <w:pPr>
        <w:pStyle w:val="Odstavecseseznamem"/>
        <w:tabs>
          <w:tab w:val="left" w:pos="2059"/>
        </w:tabs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</w:pPr>
      <w:r w:rsidRPr="00817113"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t xml:space="preserve">Legenda: </w:t>
      </w:r>
      <w:r w:rsidRPr="00817113">
        <w:rPr>
          <w:rFonts w:asciiTheme="minorHAnsi" w:hAnsiTheme="minorHAnsi" w:cstheme="minorHAnsi"/>
          <w:bCs/>
          <w:color w:val="FFC000"/>
          <w:sz w:val="20"/>
          <w:szCs w:val="20"/>
          <w:shd w:val="clear" w:color="auto" w:fill="FDFDFD"/>
        </w:rPr>
        <w:t xml:space="preserve">            </w:t>
      </w:r>
      <w:r w:rsidRPr="00817113">
        <w:rPr>
          <w:rFonts w:asciiTheme="minorHAnsi" w:hAnsiTheme="minorHAnsi" w:cstheme="minorHAnsi"/>
          <w:bCs/>
          <w:color w:val="FFC000"/>
          <w:sz w:val="20"/>
          <w:szCs w:val="20"/>
          <w:shd w:val="clear" w:color="auto" w:fill="FDFDFD"/>
        </w:rPr>
        <w:tab/>
        <w:t xml:space="preserve"> </w:t>
      </w:r>
    </w:p>
    <w:p w14:paraId="376D7E93" w14:textId="32D46BC2" w:rsidR="00817113" w:rsidRDefault="00817113" w:rsidP="00522DFD">
      <w:pPr>
        <w:pStyle w:val="Odstavecseseznamem"/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</w:pPr>
      <w:r w:rsidRPr="00817113">
        <w:rPr>
          <w:rFonts w:asciiTheme="minorHAnsi" w:hAnsiTheme="minorHAnsi" w:cstheme="minorHAnsi"/>
          <w:bCs/>
          <w:noProof/>
          <w:color w:val="000000" w:themeColor="text1"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FA9F33" wp14:editId="7B4E37C9">
                <wp:simplePos x="0" y="0"/>
                <wp:positionH relativeFrom="column">
                  <wp:posOffset>450961</wp:posOffset>
                </wp:positionH>
                <wp:positionV relativeFrom="paragraph">
                  <wp:posOffset>5743</wp:posOffset>
                </wp:positionV>
                <wp:extent cx="494748" cy="132522"/>
                <wp:effectExtent l="0" t="0" r="635" b="1270"/>
                <wp:wrapNone/>
                <wp:docPr id="917172557" name="Vývojový diagram: postup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748" cy="132522"/>
                        </a:xfrm>
                        <a:prstGeom prst="flowChartProcess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129D4AA" id="_x0000_t109" coordsize="21600,21600" o:spt="109" path="m,l,21600r21600,l21600,xe">
                <v:stroke joinstyle="miter"/>
                <v:path gradientshapeok="t" o:connecttype="rect"/>
              </v:shapetype>
              <v:shape id="Vývojový diagram: postup 2" o:spid="_x0000_s1026" type="#_x0000_t109" style="position:absolute;margin-left:35.5pt;margin-top:.45pt;width:38.95pt;height:10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" fillcolor="#ffc000" stroked="f" strokeweight="1pt"/>
            </w:pict>
          </mc:Fallback>
        </mc:AlternateContent>
      </w:r>
      <w:r w:rsidRPr="00817113"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  <w:tab/>
      </w:r>
      <w:r w:rsidRPr="00817113"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  <w:tab/>
      </w:r>
      <w:r w:rsidRPr="00817113"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  <w:tab/>
      </w:r>
      <w:r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  <w:t xml:space="preserve">    </w:t>
      </w:r>
      <w:r w:rsidRPr="00817113"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  <w:t>úseky placeného stání</w:t>
      </w:r>
      <w:r w:rsidR="00526E19"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  <w:t xml:space="preserve"> – parkování s parkovacím automatem</w:t>
      </w:r>
    </w:p>
    <w:p w14:paraId="32093F24" w14:textId="77777777" w:rsidR="009A03D4" w:rsidRDefault="009A03D4" w:rsidP="00522DFD">
      <w:pPr>
        <w:pStyle w:val="Odstavecseseznamem"/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</w:pPr>
    </w:p>
    <w:p w14:paraId="402C6FB0" w14:textId="77777777" w:rsidR="009A03D4" w:rsidRDefault="009A03D4" w:rsidP="00522DFD">
      <w:pPr>
        <w:pStyle w:val="Odstavecseseznamem"/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</w:pPr>
    </w:p>
    <w:p w14:paraId="6A605650" w14:textId="77777777" w:rsidR="009A03D4" w:rsidRPr="009A03D4" w:rsidRDefault="009A03D4" w:rsidP="002A43E3">
      <w:pPr>
        <w:pStyle w:val="Odstavecseseznamem"/>
        <w:spacing w:after="0" w:line="240" w:lineRule="auto"/>
        <w:ind w:left="284"/>
        <w:contextualSpacing w:val="0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A0E9050" w14:textId="2703113E" w:rsidR="00DB545A" w:rsidRPr="00727E9A" w:rsidRDefault="00DB545A" w:rsidP="00DB545A">
      <w:pPr>
        <w:tabs>
          <w:tab w:val="left" w:pos="567"/>
        </w:tabs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727E9A">
        <w:rPr>
          <w:rFonts w:asciiTheme="minorHAnsi" w:hAnsiTheme="minorHAnsi" w:cstheme="minorHAnsi"/>
          <w:sz w:val="24"/>
          <w:szCs w:val="24"/>
          <w:u w:val="single"/>
        </w:rPr>
        <w:lastRenderedPageBreak/>
        <w:t>Parkovací automat musí být vybaven tabulí s následujícími údaji:</w:t>
      </w:r>
    </w:p>
    <w:p w14:paraId="5879006F" w14:textId="77777777" w:rsidR="00DB545A" w:rsidRPr="00727E9A" w:rsidRDefault="00DB545A" w:rsidP="00DB545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727E9A">
        <w:rPr>
          <w:rFonts w:asciiTheme="minorHAnsi" w:hAnsiTheme="minorHAnsi" w:cstheme="minorHAnsi"/>
          <w:sz w:val="24"/>
          <w:szCs w:val="24"/>
        </w:rPr>
        <w:t>název provozovatele</w:t>
      </w:r>
    </w:p>
    <w:p w14:paraId="351289A7" w14:textId="77777777" w:rsidR="00DB545A" w:rsidRPr="00727E9A" w:rsidRDefault="00DB545A" w:rsidP="00DB545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727E9A">
        <w:rPr>
          <w:rFonts w:asciiTheme="minorHAnsi" w:hAnsiTheme="minorHAnsi" w:cstheme="minorHAnsi"/>
          <w:sz w:val="24"/>
          <w:szCs w:val="24"/>
        </w:rPr>
        <w:t>druh parkujícího vozidla</w:t>
      </w:r>
    </w:p>
    <w:p w14:paraId="233791A7" w14:textId="6236E242" w:rsidR="00DB545A" w:rsidRPr="00727E9A" w:rsidRDefault="00DB545A" w:rsidP="00DB545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727E9A">
        <w:rPr>
          <w:rFonts w:asciiTheme="minorHAnsi" w:hAnsiTheme="minorHAnsi" w:cstheme="minorHAnsi"/>
          <w:sz w:val="24"/>
          <w:szCs w:val="24"/>
        </w:rPr>
        <w:t>provozní dob</w:t>
      </w:r>
      <w:r w:rsidR="0023665F">
        <w:rPr>
          <w:rFonts w:asciiTheme="minorHAnsi" w:hAnsiTheme="minorHAnsi" w:cstheme="minorHAnsi"/>
          <w:sz w:val="24"/>
          <w:szCs w:val="24"/>
        </w:rPr>
        <w:t>a</w:t>
      </w:r>
      <w:r w:rsidRPr="00727E9A">
        <w:rPr>
          <w:rFonts w:asciiTheme="minorHAnsi" w:hAnsiTheme="minorHAnsi" w:cstheme="minorHAnsi"/>
          <w:sz w:val="24"/>
          <w:szCs w:val="24"/>
        </w:rPr>
        <w:t xml:space="preserve"> placen</w:t>
      </w:r>
      <w:r w:rsidR="0023665F">
        <w:rPr>
          <w:rFonts w:asciiTheme="minorHAnsi" w:hAnsiTheme="minorHAnsi" w:cstheme="minorHAnsi"/>
          <w:sz w:val="24"/>
          <w:szCs w:val="24"/>
        </w:rPr>
        <w:t>ého</w:t>
      </w:r>
      <w:r w:rsidRPr="00727E9A">
        <w:rPr>
          <w:rFonts w:asciiTheme="minorHAnsi" w:hAnsiTheme="minorHAnsi" w:cstheme="minorHAnsi"/>
          <w:sz w:val="24"/>
          <w:szCs w:val="24"/>
        </w:rPr>
        <w:t xml:space="preserve"> stání</w:t>
      </w:r>
    </w:p>
    <w:p w14:paraId="25DB802C" w14:textId="6E92EA22" w:rsidR="00DB545A" w:rsidRPr="00727E9A" w:rsidRDefault="00DB545A" w:rsidP="00DB545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727E9A">
        <w:rPr>
          <w:rFonts w:asciiTheme="minorHAnsi" w:hAnsiTheme="minorHAnsi" w:cstheme="minorHAnsi"/>
          <w:sz w:val="24"/>
          <w:szCs w:val="24"/>
        </w:rPr>
        <w:t>cen</w:t>
      </w:r>
      <w:r w:rsidR="0023665F">
        <w:rPr>
          <w:rFonts w:asciiTheme="minorHAnsi" w:hAnsiTheme="minorHAnsi" w:cstheme="minorHAnsi"/>
          <w:sz w:val="24"/>
          <w:szCs w:val="24"/>
        </w:rPr>
        <w:t>a</w:t>
      </w:r>
      <w:r w:rsidRPr="00727E9A">
        <w:rPr>
          <w:rFonts w:asciiTheme="minorHAnsi" w:hAnsiTheme="minorHAnsi" w:cstheme="minorHAnsi"/>
          <w:sz w:val="24"/>
          <w:szCs w:val="24"/>
        </w:rPr>
        <w:t xml:space="preserve"> za parkování, způsob její úhrady a prokazování této úhrady</w:t>
      </w:r>
    </w:p>
    <w:p w14:paraId="70D0DCEA" w14:textId="77777777" w:rsidR="00DB545A" w:rsidRPr="00727E9A" w:rsidRDefault="00DB545A" w:rsidP="00DB545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727E9A">
        <w:rPr>
          <w:rFonts w:asciiTheme="minorHAnsi" w:hAnsiTheme="minorHAnsi" w:cstheme="minorHAnsi"/>
          <w:sz w:val="24"/>
          <w:szCs w:val="24"/>
        </w:rPr>
        <w:t>práva a povinnosti provozovatele a uživatele parkoviště</w:t>
      </w:r>
    </w:p>
    <w:p w14:paraId="17B80169" w14:textId="77777777" w:rsidR="00DB545A" w:rsidRPr="00727E9A" w:rsidRDefault="00DB545A" w:rsidP="00DB545A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91ACB20" w14:textId="152D0EF1" w:rsidR="00DB545A" w:rsidRPr="00727E9A" w:rsidRDefault="00DB545A" w:rsidP="00DB545A">
      <w:pPr>
        <w:tabs>
          <w:tab w:val="left" w:pos="567"/>
        </w:tabs>
        <w:rPr>
          <w:rFonts w:asciiTheme="minorHAnsi" w:hAnsiTheme="minorHAnsi" w:cstheme="minorHAnsi"/>
          <w:sz w:val="24"/>
          <w:szCs w:val="24"/>
          <w:u w:val="single"/>
        </w:rPr>
      </w:pPr>
      <w:r w:rsidRPr="00727E9A">
        <w:rPr>
          <w:rFonts w:asciiTheme="minorHAnsi" w:hAnsiTheme="minorHAnsi" w:cstheme="minorHAnsi"/>
          <w:sz w:val="24"/>
          <w:szCs w:val="24"/>
          <w:u w:val="single"/>
        </w:rPr>
        <w:t>Stanovení provozní doby (parkování s parkovacím automatem):</w:t>
      </w:r>
    </w:p>
    <w:p w14:paraId="63EF4405" w14:textId="5D7392BD" w:rsidR="00DB545A" w:rsidRPr="00727E9A" w:rsidRDefault="00DB545A" w:rsidP="00522DFD">
      <w:pPr>
        <w:pStyle w:val="Odstavecseseznamem"/>
        <w:numPr>
          <w:ilvl w:val="0"/>
          <w:numId w:val="4"/>
        </w:numPr>
        <w:spacing w:after="0" w:line="240" w:lineRule="auto"/>
        <w:ind w:left="567" w:hanging="425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727E9A">
        <w:rPr>
          <w:rFonts w:asciiTheme="minorHAnsi" w:hAnsiTheme="minorHAnsi" w:cstheme="minorHAnsi"/>
          <w:sz w:val="24"/>
          <w:szCs w:val="24"/>
        </w:rPr>
        <w:t>pondělí až pátek od 07:00 do 17:00 hod.</w:t>
      </w:r>
    </w:p>
    <w:p w14:paraId="6D1152E6" w14:textId="77777777" w:rsidR="00DB545A" w:rsidRPr="00727E9A" w:rsidRDefault="00DB545A" w:rsidP="00DB545A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484EE13" w14:textId="77777777" w:rsidR="00DB545A" w:rsidRDefault="00DB545A" w:rsidP="00DB545A">
      <w:pPr>
        <w:jc w:val="both"/>
        <w:rPr>
          <w:rFonts w:ascii="Times New Roman" w:hAnsi="Times New Roman"/>
          <w:sz w:val="24"/>
          <w:szCs w:val="24"/>
        </w:rPr>
      </w:pPr>
    </w:p>
    <w:sectPr w:rsidR="00DB545A" w:rsidSect="00244B46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1C3C2" w14:textId="77777777" w:rsidR="00B54A0B" w:rsidRDefault="00B54A0B" w:rsidP="005440B9">
      <w:pPr>
        <w:spacing w:after="0" w:line="240" w:lineRule="auto"/>
      </w:pPr>
      <w:r>
        <w:separator/>
      </w:r>
    </w:p>
  </w:endnote>
  <w:endnote w:type="continuationSeparator" w:id="0">
    <w:p w14:paraId="7E498CED" w14:textId="77777777" w:rsidR="00B54A0B" w:rsidRDefault="00B54A0B" w:rsidP="00544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3965003"/>
      <w:docPartObj>
        <w:docPartGallery w:val="Page Numbers (Bottom of Page)"/>
        <w:docPartUnique/>
      </w:docPartObj>
    </w:sdtPr>
    <w:sdtContent>
      <w:p w14:paraId="57080CDB" w14:textId="1D5B2B7B" w:rsidR="00917996" w:rsidRDefault="0091799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092D21" w14:textId="77777777" w:rsidR="00917996" w:rsidRDefault="0091799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1E96C" w14:textId="77777777" w:rsidR="00B54A0B" w:rsidRDefault="00B54A0B" w:rsidP="005440B9">
      <w:pPr>
        <w:spacing w:after="0" w:line="240" w:lineRule="auto"/>
      </w:pPr>
      <w:r>
        <w:separator/>
      </w:r>
    </w:p>
  </w:footnote>
  <w:footnote w:type="continuationSeparator" w:id="0">
    <w:p w14:paraId="10CA1BB8" w14:textId="77777777" w:rsidR="00B54A0B" w:rsidRDefault="00B54A0B" w:rsidP="005440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E6C2C" w14:textId="17D570BB" w:rsidR="00917996" w:rsidRDefault="00917996" w:rsidP="00B474D6">
    <w:pPr>
      <w:spacing w:after="0"/>
      <w:jc w:val="both"/>
      <w:rPr>
        <w:rFonts w:asciiTheme="minorHAnsi" w:eastAsia="Times New Roman" w:hAnsiTheme="minorHAnsi" w:cstheme="minorHAnsi"/>
        <w:b/>
        <w:sz w:val="24"/>
        <w:szCs w:val="24"/>
      </w:rPr>
    </w:pPr>
    <w:r w:rsidRPr="00DB254F">
      <w:rPr>
        <w:rFonts w:asciiTheme="minorHAnsi" w:hAnsiTheme="minorHAnsi" w:cstheme="minorHAnsi"/>
        <w:b/>
        <w:sz w:val="24"/>
        <w:szCs w:val="24"/>
      </w:rPr>
      <w:t xml:space="preserve">Příloha č. 1 k Nařízení města Hořovice </w:t>
    </w:r>
    <w:r w:rsidRPr="00DB254F">
      <w:rPr>
        <w:rFonts w:asciiTheme="minorHAnsi" w:eastAsia="Times New Roman" w:hAnsiTheme="minorHAnsi" w:cstheme="minorHAnsi"/>
        <w:b/>
        <w:sz w:val="24"/>
        <w:szCs w:val="24"/>
      </w:rPr>
      <w:t>o placeném stání silničních motorových vozidel na místních komunikacích nebo určených úsecích v</w:t>
    </w:r>
    <w:r w:rsidR="00B474D6">
      <w:rPr>
        <w:rFonts w:asciiTheme="minorHAnsi" w:eastAsia="Times New Roman" w:hAnsiTheme="minorHAnsi" w:cstheme="minorHAnsi"/>
        <w:b/>
        <w:sz w:val="24"/>
        <w:szCs w:val="24"/>
      </w:rPr>
      <w:t> </w:t>
    </w:r>
    <w:r w:rsidRPr="00DB254F">
      <w:rPr>
        <w:rFonts w:asciiTheme="minorHAnsi" w:eastAsia="Times New Roman" w:hAnsiTheme="minorHAnsi" w:cstheme="minorHAnsi"/>
        <w:b/>
        <w:sz w:val="24"/>
        <w:szCs w:val="24"/>
      </w:rPr>
      <w:t>Hořovicích</w:t>
    </w:r>
  </w:p>
  <w:p w14:paraId="510DCFF4" w14:textId="77777777" w:rsidR="00B474D6" w:rsidRDefault="00B474D6" w:rsidP="00B474D6">
    <w:pPr>
      <w:spacing w:after="120"/>
      <w:jc w:val="both"/>
      <w:rPr>
        <w:rFonts w:asciiTheme="minorHAnsi" w:eastAsia="Times New Roman" w:hAnsiTheme="minorHAnsi" w:cstheme="minorHAnsi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DF94A50"/>
    <w:multiLevelType w:val="hybridMultilevel"/>
    <w:tmpl w:val="5D1A49E2"/>
    <w:lvl w:ilvl="0" w:tplc="DD189C8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D7609"/>
    <w:multiLevelType w:val="hybridMultilevel"/>
    <w:tmpl w:val="09AEC28C"/>
    <w:lvl w:ilvl="0" w:tplc="D4E4D82E">
      <w:start w:val="2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2A2101B4"/>
    <w:multiLevelType w:val="hybridMultilevel"/>
    <w:tmpl w:val="E6FE6236"/>
    <w:lvl w:ilvl="0" w:tplc="04050017">
      <w:start w:val="1"/>
      <w:numFmt w:val="lowerLetter"/>
      <w:lvlText w:val="%1)"/>
      <w:lvlJc w:val="left"/>
      <w:pPr>
        <w:tabs>
          <w:tab w:val="num" w:pos="861"/>
        </w:tabs>
        <w:ind w:left="861" w:hanging="360"/>
      </w:pPr>
    </w:lvl>
    <w:lvl w:ilvl="1" w:tplc="1C44B970">
      <w:start w:val="1"/>
      <w:numFmt w:val="decimal"/>
      <w:lvlText w:val="%2."/>
      <w:lvlJc w:val="left"/>
      <w:pPr>
        <w:tabs>
          <w:tab w:val="num" w:pos="1581"/>
        </w:tabs>
        <w:ind w:left="1581" w:hanging="360"/>
      </w:pPr>
      <w:rPr>
        <w:b/>
      </w:rPr>
    </w:lvl>
    <w:lvl w:ilvl="2" w:tplc="223848FE">
      <w:start w:val="1"/>
      <w:numFmt w:val="bullet"/>
      <w:lvlText w:val="-"/>
      <w:lvlJc w:val="left"/>
      <w:pPr>
        <w:ind w:left="2481" w:hanging="360"/>
      </w:pPr>
      <w:rPr>
        <w:rFonts w:ascii="Times New Roman" w:eastAsiaTheme="minorHAnsi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21"/>
        </w:tabs>
        <w:ind w:left="30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41"/>
        </w:tabs>
        <w:ind w:left="37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61"/>
        </w:tabs>
        <w:ind w:left="44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81"/>
        </w:tabs>
        <w:ind w:left="51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01"/>
        </w:tabs>
        <w:ind w:left="59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21"/>
        </w:tabs>
        <w:ind w:left="6621" w:hanging="180"/>
      </w:pPr>
    </w:lvl>
  </w:abstractNum>
  <w:abstractNum w:abstractNumId="4" w15:restartNumberingAfterBreak="0">
    <w:nsid w:val="4B955089"/>
    <w:multiLevelType w:val="singleLevel"/>
    <w:tmpl w:val="6916FA72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Calibri" w:hAnsi="Calibri" w:cs="Calibri" w:hint="default"/>
        <w:b w:val="0"/>
        <w:i w:val="0"/>
        <w:sz w:val="24"/>
        <w:u w:val="none"/>
      </w:rPr>
    </w:lvl>
  </w:abstractNum>
  <w:num w:numId="1" w16cid:durableId="1972635317">
    <w:abstractNumId w:val="0"/>
  </w:num>
  <w:num w:numId="2" w16cid:durableId="1626887484">
    <w:abstractNumId w:val="1"/>
  </w:num>
  <w:num w:numId="3" w16cid:durableId="1705976859">
    <w:abstractNumId w:val="3"/>
  </w:num>
  <w:num w:numId="4" w16cid:durableId="1384060809">
    <w:abstractNumId w:val="2"/>
  </w:num>
  <w:num w:numId="5" w16cid:durableId="14131606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45A"/>
    <w:rsid w:val="000C1413"/>
    <w:rsid w:val="00114AC4"/>
    <w:rsid w:val="00117BE9"/>
    <w:rsid w:val="00132CDC"/>
    <w:rsid w:val="001C60F7"/>
    <w:rsid w:val="00206069"/>
    <w:rsid w:val="002356DC"/>
    <w:rsid w:val="0023665F"/>
    <w:rsid w:val="00244B46"/>
    <w:rsid w:val="00257E22"/>
    <w:rsid w:val="00296EB7"/>
    <w:rsid w:val="002A43E3"/>
    <w:rsid w:val="0033330C"/>
    <w:rsid w:val="00361A12"/>
    <w:rsid w:val="003A2AA9"/>
    <w:rsid w:val="003C31AA"/>
    <w:rsid w:val="0044733C"/>
    <w:rsid w:val="00453932"/>
    <w:rsid w:val="00522DFD"/>
    <w:rsid w:val="00526E19"/>
    <w:rsid w:val="005440B9"/>
    <w:rsid w:val="005C1A55"/>
    <w:rsid w:val="00635444"/>
    <w:rsid w:val="006D67C9"/>
    <w:rsid w:val="0071044F"/>
    <w:rsid w:val="0079291D"/>
    <w:rsid w:val="007A237E"/>
    <w:rsid w:val="00817113"/>
    <w:rsid w:val="00850B85"/>
    <w:rsid w:val="008B4356"/>
    <w:rsid w:val="00917996"/>
    <w:rsid w:val="009715A6"/>
    <w:rsid w:val="009A03D4"/>
    <w:rsid w:val="009B5A52"/>
    <w:rsid w:val="00A0460B"/>
    <w:rsid w:val="00AE2980"/>
    <w:rsid w:val="00B13236"/>
    <w:rsid w:val="00B474D6"/>
    <w:rsid w:val="00B54A0B"/>
    <w:rsid w:val="00B778D4"/>
    <w:rsid w:val="00C80891"/>
    <w:rsid w:val="00CD1E87"/>
    <w:rsid w:val="00CF6B70"/>
    <w:rsid w:val="00D50D43"/>
    <w:rsid w:val="00DB545A"/>
    <w:rsid w:val="00DB795B"/>
    <w:rsid w:val="00E570E7"/>
    <w:rsid w:val="00F154E0"/>
    <w:rsid w:val="00F30417"/>
    <w:rsid w:val="00F9758C"/>
    <w:rsid w:val="00FC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E9551C"/>
  <w15:chartTrackingRefBased/>
  <w15:docId w15:val="{CCC5D1FD-E364-43DE-9CE4-BB2754A14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Arial Unicode MS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45A"/>
    <w:pPr>
      <w:spacing w:after="200" w:line="276" w:lineRule="auto"/>
    </w:pPr>
    <w:rPr>
      <w:rFonts w:ascii="Calibri" w:eastAsiaTheme="minorHAnsi" w:hAnsi="Calibri" w:cs="Times New Roman"/>
      <w:kern w:val="0"/>
      <w14:ligatures w14:val="none"/>
    </w:rPr>
  </w:style>
  <w:style w:type="paragraph" w:styleId="Nadpis1">
    <w:name w:val="heading 1"/>
    <w:aliases w:val="Část"/>
    <w:basedOn w:val="Normln"/>
    <w:next w:val="Normln"/>
    <w:link w:val="Nadpis1Char"/>
    <w:uiPriority w:val="9"/>
    <w:qFormat/>
    <w:rsid w:val="00296EB7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kern w:val="2"/>
      <w:sz w:val="28"/>
      <w:szCs w:val="32"/>
      <w14:ligatures w14:val="standardContextual"/>
    </w:rPr>
  </w:style>
  <w:style w:type="paragraph" w:styleId="Nadpis2">
    <w:name w:val="heading 2"/>
    <w:aliases w:val="články"/>
    <w:basedOn w:val="Normln"/>
    <w:next w:val="Normln"/>
    <w:link w:val="Nadpis2Char"/>
    <w:uiPriority w:val="9"/>
    <w:unhideWhenUsed/>
    <w:qFormat/>
    <w:rsid w:val="00296EB7"/>
    <w:pPr>
      <w:keepNext/>
      <w:keepLines/>
      <w:spacing w:before="240" w:after="240"/>
      <w:outlineLvl w:val="1"/>
    </w:pPr>
    <w:rPr>
      <w:rFonts w:eastAsiaTheme="majorEastAsia" w:cstheme="majorBidi"/>
      <w:b/>
      <w:kern w:val="2"/>
      <w:szCs w:val="26"/>
      <w14:ligatures w14:val="standardContextual"/>
    </w:rPr>
  </w:style>
  <w:style w:type="paragraph" w:styleId="Nadpis3">
    <w:name w:val="heading 3"/>
    <w:aliases w:val="Články"/>
    <w:basedOn w:val="Normln"/>
    <w:next w:val="Normln"/>
    <w:link w:val="Nadpis3Char"/>
    <w:uiPriority w:val="9"/>
    <w:unhideWhenUsed/>
    <w:qFormat/>
    <w:rsid w:val="008B4356"/>
    <w:pPr>
      <w:keepNext/>
      <w:keepLines/>
      <w:spacing w:before="240" w:after="120"/>
      <w:jc w:val="center"/>
      <w:outlineLvl w:val="2"/>
    </w:pPr>
    <w:rPr>
      <w:rFonts w:eastAsiaTheme="majorEastAsia" w:cstheme="majorBidi"/>
      <w:b/>
      <w:color w:val="000000" w:themeColor="text1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Část Char"/>
    <w:basedOn w:val="Standardnpsmoodstavce"/>
    <w:link w:val="Nadpis1"/>
    <w:uiPriority w:val="9"/>
    <w:rsid w:val="00296EB7"/>
    <w:rPr>
      <w:rFonts w:ascii="Calibri" w:eastAsiaTheme="majorEastAsia" w:hAnsi="Calibri" w:cstheme="majorBidi"/>
      <w:b/>
      <w:sz w:val="28"/>
      <w:szCs w:val="32"/>
    </w:rPr>
  </w:style>
  <w:style w:type="character" w:customStyle="1" w:styleId="Nadpis2Char">
    <w:name w:val="Nadpis 2 Char"/>
    <w:aliases w:val="články Char"/>
    <w:basedOn w:val="Standardnpsmoodstavce"/>
    <w:link w:val="Nadpis2"/>
    <w:uiPriority w:val="9"/>
    <w:rsid w:val="00296EB7"/>
    <w:rPr>
      <w:rFonts w:ascii="Calibri" w:eastAsiaTheme="majorEastAsia" w:hAnsi="Calibri" w:cstheme="majorBidi"/>
      <w:b/>
      <w:szCs w:val="26"/>
    </w:rPr>
  </w:style>
  <w:style w:type="character" w:customStyle="1" w:styleId="Nadpis3Char">
    <w:name w:val="Nadpis 3 Char"/>
    <w:aliases w:val="Články Char"/>
    <w:basedOn w:val="Standardnpsmoodstavce"/>
    <w:link w:val="Nadpis3"/>
    <w:uiPriority w:val="9"/>
    <w:rsid w:val="008B4356"/>
    <w:rPr>
      <w:rFonts w:ascii="Calibri" w:eastAsiaTheme="majorEastAsia" w:hAnsi="Calibri" w:cstheme="majorBidi"/>
      <w:b/>
      <w:color w:val="000000" w:themeColor="text1"/>
    </w:rPr>
  </w:style>
  <w:style w:type="paragraph" w:styleId="Odstavecseseznamem">
    <w:name w:val="List Paragraph"/>
    <w:basedOn w:val="Normln"/>
    <w:uiPriority w:val="34"/>
    <w:qFormat/>
    <w:rsid w:val="00DB545A"/>
    <w:pPr>
      <w:ind w:left="720"/>
      <w:contextualSpacing/>
    </w:pPr>
  </w:style>
  <w:style w:type="paragraph" w:styleId="Revize">
    <w:name w:val="Revision"/>
    <w:hidden/>
    <w:uiPriority w:val="99"/>
    <w:semiHidden/>
    <w:rsid w:val="0023665F"/>
    <w:pPr>
      <w:spacing w:after="0" w:line="240" w:lineRule="auto"/>
    </w:pPr>
    <w:rPr>
      <w:rFonts w:ascii="Calibri" w:eastAsiaTheme="minorHAnsi" w:hAnsi="Calibri" w:cs="Times New Roman"/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5440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440B9"/>
    <w:rPr>
      <w:rFonts w:ascii="Calibri" w:eastAsiaTheme="minorHAnsi" w:hAnsi="Calibri" w:cs="Times New Roman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5440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440B9"/>
    <w:rPr>
      <w:rFonts w:ascii="Calibri" w:eastAsiaTheme="minorHAns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215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Hlavatá</dc:creator>
  <cp:keywords/>
  <dc:description/>
  <cp:lastModifiedBy>Marie Zimáková</cp:lastModifiedBy>
  <cp:revision>14</cp:revision>
  <cp:lastPrinted>2024-04-08T13:35:00Z</cp:lastPrinted>
  <dcterms:created xsi:type="dcterms:W3CDTF">2024-04-19T06:13:00Z</dcterms:created>
  <dcterms:modified xsi:type="dcterms:W3CDTF">2025-02-17T13:08:00Z</dcterms:modified>
</cp:coreProperties>
</file>