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39E3" w14:textId="03BBADD6" w:rsidR="00CD1E87" w:rsidRPr="00CD1E87" w:rsidRDefault="00CD1E87" w:rsidP="00CD1E87">
      <w:pPr>
        <w:spacing w:after="0"/>
        <w:jc w:val="center"/>
        <w:rPr>
          <w:rFonts w:asciiTheme="minorHAnsi" w:hAnsiTheme="minorHAnsi" w:cstheme="minorHAnsi"/>
          <w:b/>
          <w:color w:val="FF6600"/>
          <w:sz w:val="44"/>
          <w:szCs w:val="44"/>
        </w:rPr>
      </w:pPr>
      <w:r w:rsidRPr="00CD1E87">
        <w:rPr>
          <w:rFonts w:asciiTheme="minorHAnsi" w:hAnsiTheme="minorHAnsi" w:cstheme="minorHAnsi"/>
          <w:b/>
          <w:color w:val="FF6600"/>
          <w:sz w:val="44"/>
          <w:szCs w:val="44"/>
        </w:rPr>
        <w:t>ORANŽOVÉ ZÓNY</w:t>
      </w:r>
    </w:p>
    <w:p w14:paraId="64EDC1F8" w14:textId="77777777" w:rsidR="00CD1E87" w:rsidRDefault="00CD1E87" w:rsidP="0023665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3F9648C" w14:textId="668A7E08" w:rsidR="00DB545A" w:rsidRPr="00522DFD" w:rsidRDefault="00DB545A" w:rsidP="0023665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22DFD">
        <w:rPr>
          <w:rFonts w:asciiTheme="minorHAnsi" w:hAnsiTheme="minorHAnsi" w:cstheme="minorHAnsi"/>
          <w:b/>
          <w:sz w:val="28"/>
          <w:szCs w:val="28"/>
        </w:rPr>
        <w:t xml:space="preserve">Seznam místních komunikací nebo jejich určených úseků pro účely placeného stání </w:t>
      </w:r>
      <w:r w:rsidR="00E570E7" w:rsidRPr="00522DFD">
        <w:rPr>
          <w:rFonts w:asciiTheme="minorHAnsi" w:hAnsiTheme="minorHAnsi" w:cstheme="minorHAnsi"/>
          <w:b/>
          <w:sz w:val="28"/>
          <w:szCs w:val="28"/>
        </w:rPr>
        <w:t xml:space="preserve">silničních </w:t>
      </w:r>
      <w:r w:rsidRPr="00522DFD">
        <w:rPr>
          <w:rFonts w:asciiTheme="minorHAnsi" w:hAnsiTheme="minorHAnsi" w:cstheme="minorHAnsi"/>
          <w:b/>
          <w:sz w:val="28"/>
          <w:szCs w:val="28"/>
        </w:rPr>
        <w:t>motorových vozidel – parkování s parkovacím automatem</w:t>
      </w:r>
    </w:p>
    <w:p w14:paraId="41933E5A" w14:textId="77777777" w:rsidR="00DB545A" w:rsidRDefault="00DB545A" w:rsidP="003C31A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01E4E5" w14:textId="0A5E45CC" w:rsidR="009A03D4" w:rsidRPr="009A03D4" w:rsidRDefault="009A03D4" w:rsidP="003C31AA">
      <w:pPr>
        <w:spacing w:after="120" w:line="240" w:lineRule="auto"/>
        <w:jc w:val="both"/>
        <w:rPr>
          <w:rFonts w:asciiTheme="minorHAnsi" w:hAnsiTheme="minorHAnsi" w:cstheme="minorHAnsi"/>
          <w:b/>
          <w:color w:val="FF6600"/>
          <w:sz w:val="24"/>
          <w:szCs w:val="24"/>
          <w:shd w:val="clear" w:color="auto" w:fill="FDFDFD"/>
        </w:rPr>
      </w:pPr>
      <w:r w:rsidRPr="009A03D4">
        <w:rPr>
          <w:rFonts w:asciiTheme="minorHAnsi" w:hAnsiTheme="minorHAnsi" w:cstheme="minorHAnsi"/>
          <w:b/>
          <w:color w:val="FF6600"/>
          <w:sz w:val="24"/>
          <w:szCs w:val="24"/>
          <w:shd w:val="clear" w:color="auto" w:fill="FDFDFD"/>
        </w:rPr>
        <w:t xml:space="preserve">A) </w:t>
      </w:r>
      <w:r>
        <w:rPr>
          <w:rFonts w:asciiTheme="minorHAnsi" w:hAnsiTheme="minorHAnsi" w:cstheme="minorHAnsi"/>
          <w:b/>
          <w:color w:val="FF6600"/>
          <w:sz w:val="24"/>
          <w:szCs w:val="24"/>
          <w:shd w:val="clear" w:color="auto" w:fill="FDFDFD"/>
        </w:rPr>
        <w:t>c</w:t>
      </w:r>
      <w:r w:rsidRPr="009A03D4">
        <w:rPr>
          <w:rFonts w:asciiTheme="minorHAnsi" w:hAnsiTheme="minorHAnsi" w:cstheme="minorHAnsi"/>
          <w:b/>
          <w:color w:val="FF6600"/>
          <w:sz w:val="24"/>
          <w:szCs w:val="24"/>
          <w:shd w:val="clear" w:color="auto" w:fill="FDFDFD"/>
        </w:rPr>
        <w:t>entrum</w:t>
      </w:r>
      <w:r>
        <w:rPr>
          <w:rFonts w:asciiTheme="minorHAnsi" w:hAnsiTheme="minorHAnsi" w:cstheme="minorHAnsi"/>
          <w:b/>
          <w:color w:val="FF6600"/>
          <w:sz w:val="24"/>
          <w:szCs w:val="24"/>
          <w:shd w:val="clear" w:color="auto" w:fill="FDFDFD"/>
        </w:rPr>
        <w:t xml:space="preserve"> města</w:t>
      </w:r>
    </w:p>
    <w:p w14:paraId="155DA36C" w14:textId="10A3124E" w:rsidR="003C31AA" w:rsidRPr="00DB254F" w:rsidRDefault="003C31AA" w:rsidP="003C31AA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Místní komunikace nebo jejich určené úseky s placeným stáním </w:t>
      </w:r>
    </w:p>
    <w:p w14:paraId="4BAA88C4" w14:textId="1AAF8B3F" w:rsidR="003C31AA" w:rsidRDefault="00DB545A" w:rsidP="003C31AA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- </w:t>
      </w:r>
      <w:r w:rsidR="0023665F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23665F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ab/>
      </w:r>
      <w:r w:rsidR="003C31AA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3C31AA"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Fügnerova</w:t>
      </w:r>
      <w:r w:rsidR="003C31AA"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vyznačené plochy na </w:t>
      </w:r>
      <w:r w:rsid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pozemcích </w:t>
      </w:r>
      <w:r w:rsidR="003C31AA"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parc. č. </w:t>
      </w:r>
      <w:r w:rsid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1673/1, 1673/2, 1671/2 v k.ú. Hořovice</w:t>
      </w:r>
    </w:p>
    <w:p w14:paraId="21514620" w14:textId="688B2E5C" w:rsidR="003C31AA" w:rsidRDefault="003C31AA" w:rsidP="003C31A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Náměstí Svobody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na vyznačených místech</w:t>
      </w:r>
      <w:r w:rsidR="009715A6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, tj.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před budovou čp. 194 (čelní část), </w:t>
      </w:r>
      <w:r w:rsidR="009715A6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br/>
      </w:r>
      <w:r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ii.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před budovou čp. 194 (boční část), </w:t>
      </w:r>
      <w:r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iii.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podél</w:t>
      </w:r>
      <w:r w:rsidR="001C60F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ně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s ulicí 9. května, </w:t>
      </w:r>
      <w:r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iv.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před budovou čp. 193</w:t>
      </w:r>
    </w:p>
    <w:p w14:paraId="48CBE753" w14:textId="42F35CC9" w:rsidR="00DB545A" w:rsidRPr="00522DFD" w:rsidRDefault="00DB545A" w:rsidP="00522DFD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Palackého</w:t>
      </w:r>
      <w:r w:rsid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</w:t>
      </w:r>
      <w:r w:rsidR="00522DFD"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náměstí</w:t>
      </w:r>
      <w:r w:rsid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</w:t>
      </w:r>
      <w:r w:rsidR="00522DFD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 celé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náměstí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vyjma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parkovacích míst před městským úřadem na východní straně náměstí,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ii.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parkoviště před severní stranou budovy čp. 640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,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 xml:space="preserve">iii.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severní části náměstí,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iv.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20 m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čp. 100,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v.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12 m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E570E7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vyznačených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před budovou čp. 98 a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vi.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45 m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na jižní straně budovy čp. 640</w:t>
      </w:r>
    </w:p>
    <w:p w14:paraId="517632D1" w14:textId="1163E34E" w:rsidR="00DB545A" w:rsidRPr="00727E9A" w:rsidRDefault="00DB545A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-</w:t>
      </w:r>
      <w:r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ab/>
      </w:r>
      <w:r w:rsidR="00635444"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Žižkova</w:t>
      </w:r>
      <w:r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vyznačená plocha naproti budově čp. 106</w:t>
      </w:r>
    </w:p>
    <w:p w14:paraId="3E8869B2" w14:textId="1CD30671" w:rsidR="00DB545A" w:rsidRDefault="00DB545A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4B4595B6" w14:textId="65C35C5F" w:rsidR="00817113" w:rsidRPr="00817113" w:rsidRDefault="00817113" w:rsidP="00817113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Obr. č. 1 - grafické znázornění úseků placeného stání v ulicích Fügnerova, Náměstí Svobody, Palackého náměstí, Žižkova</w:t>
      </w:r>
    </w:p>
    <w:p w14:paraId="4518A0C0" w14:textId="77777777" w:rsidR="00817113" w:rsidRDefault="00817113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395A1C0D" w14:textId="1195BAD9" w:rsidR="002356DC" w:rsidRDefault="002356DC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noProof/>
        </w:rPr>
        <w:drawing>
          <wp:inline distT="0" distB="0" distL="0" distR="0" wp14:anchorId="5717DAF4" wp14:editId="4876B4CA">
            <wp:extent cx="5760720" cy="3467735"/>
            <wp:effectExtent l="0" t="0" r="0" b="0"/>
            <wp:docPr id="11278367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D81C" w14:textId="77777777" w:rsidR="002356DC" w:rsidRDefault="002356DC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27023E05" w14:textId="2DFA583E" w:rsidR="00817113" w:rsidRPr="00817113" w:rsidRDefault="00817113" w:rsidP="00817113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376D7E93" w14:textId="32D46BC2" w:rsidR="00817113" w:rsidRDefault="00817113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A9F33" wp14:editId="7B4E37C9">
                <wp:simplePos x="0" y="0"/>
                <wp:positionH relativeFrom="column">
                  <wp:posOffset>450961</wp:posOffset>
                </wp:positionH>
                <wp:positionV relativeFrom="paragraph">
                  <wp:posOffset>5743</wp:posOffset>
                </wp:positionV>
                <wp:extent cx="494748" cy="132522"/>
                <wp:effectExtent l="0" t="0" r="635" b="1270"/>
                <wp:wrapNone/>
                <wp:docPr id="917172557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9D4A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35.5pt;margin-top:.45pt;width:38.95pt;height: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" fillcolor="#ffc00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ab/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ab/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ab/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   </w: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 w:rsidR="00526E19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parkování s parkovacím automatem</w:t>
      </w:r>
    </w:p>
    <w:p w14:paraId="32093F24" w14:textId="77777777" w:rsidR="009A03D4" w:rsidRDefault="009A03D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402C6FB0" w14:textId="77777777" w:rsidR="009A03D4" w:rsidRDefault="009A03D4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6A605650" w14:textId="77777777" w:rsidR="009A03D4" w:rsidRPr="009A03D4" w:rsidRDefault="009A03D4" w:rsidP="002A43E3">
      <w:pPr>
        <w:pStyle w:val="Odstavecseseznamem"/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0E9050" w14:textId="2703113E" w:rsidR="00DB545A" w:rsidRPr="00727E9A" w:rsidRDefault="00DB545A" w:rsidP="00DB545A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7E9A">
        <w:rPr>
          <w:rFonts w:asciiTheme="minorHAnsi" w:hAnsiTheme="minorHAnsi" w:cstheme="minorHAnsi"/>
          <w:sz w:val="24"/>
          <w:szCs w:val="24"/>
          <w:u w:val="single"/>
        </w:rPr>
        <w:lastRenderedPageBreak/>
        <w:t>Parkovací automat musí být vybaven tabulí s následujícími údaji:</w:t>
      </w:r>
    </w:p>
    <w:p w14:paraId="5879006F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název provozovatele</w:t>
      </w:r>
    </w:p>
    <w:p w14:paraId="351289A7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druh parkujícího vozidla</w:t>
      </w:r>
    </w:p>
    <w:p w14:paraId="233791A7" w14:textId="6236E242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provozní dob</w:t>
      </w:r>
      <w:r w:rsidR="0023665F">
        <w:rPr>
          <w:rFonts w:asciiTheme="minorHAnsi" w:hAnsiTheme="minorHAnsi" w:cstheme="minorHAnsi"/>
          <w:sz w:val="24"/>
          <w:szCs w:val="24"/>
        </w:rPr>
        <w:t>a</w:t>
      </w:r>
      <w:r w:rsidRPr="00727E9A">
        <w:rPr>
          <w:rFonts w:asciiTheme="minorHAnsi" w:hAnsiTheme="minorHAnsi" w:cstheme="minorHAnsi"/>
          <w:sz w:val="24"/>
          <w:szCs w:val="24"/>
        </w:rPr>
        <w:t xml:space="preserve"> placen</w:t>
      </w:r>
      <w:r w:rsidR="0023665F">
        <w:rPr>
          <w:rFonts w:asciiTheme="minorHAnsi" w:hAnsiTheme="minorHAnsi" w:cstheme="minorHAnsi"/>
          <w:sz w:val="24"/>
          <w:szCs w:val="24"/>
        </w:rPr>
        <w:t>ého</w:t>
      </w:r>
      <w:r w:rsidRPr="00727E9A">
        <w:rPr>
          <w:rFonts w:asciiTheme="minorHAnsi" w:hAnsiTheme="minorHAnsi" w:cstheme="minorHAnsi"/>
          <w:sz w:val="24"/>
          <w:szCs w:val="24"/>
        </w:rPr>
        <w:t xml:space="preserve"> stání</w:t>
      </w:r>
    </w:p>
    <w:p w14:paraId="25DB802C" w14:textId="6E92EA22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cen</w:t>
      </w:r>
      <w:r w:rsidR="0023665F">
        <w:rPr>
          <w:rFonts w:asciiTheme="minorHAnsi" w:hAnsiTheme="minorHAnsi" w:cstheme="minorHAnsi"/>
          <w:sz w:val="24"/>
          <w:szCs w:val="24"/>
        </w:rPr>
        <w:t>a</w:t>
      </w:r>
      <w:r w:rsidRPr="00727E9A">
        <w:rPr>
          <w:rFonts w:asciiTheme="minorHAnsi" w:hAnsiTheme="minorHAnsi" w:cstheme="minorHAnsi"/>
          <w:sz w:val="24"/>
          <w:szCs w:val="24"/>
        </w:rPr>
        <w:t xml:space="preserve"> za parkování, způsob její úhrady a prokazování této úhrady</w:t>
      </w:r>
    </w:p>
    <w:p w14:paraId="70D0DCEA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práva a povinnosti provozovatele a uživatele parkoviště</w:t>
      </w:r>
    </w:p>
    <w:p w14:paraId="17B80169" w14:textId="77777777" w:rsidR="00DB545A" w:rsidRPr="00727E9A" w:rsidRDefault="00DB545A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1ACB20" w14:textId="152D0EF1" w:rsidR="00DB545A" w:rsidRPr="00727E9A" w:rsidRDefault="00DB545A" w:rsidP="00DB545A">
      <w:pPr>
        <w:tabs>
          <w:tab w:val="left" w:pos="567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727E9A">
        <w:rPr>
          <w:rFonts w:asciiTheme="minorHAnsi" w:hAnsiTheme="minorHAnsi" w:cstheme="minorHAnsi"/>
          <w:sz w:val="24"/>
          <w:szCs w:val="24"/>
          <w:u w:val="single"/>
        </w:rPr>
        <w:t>Stanovení provozní doby (parkování s parkovacím automatem):</w:t>
      </w:r>
    </w:p>
    <w:p w14:paraId="63EF4405" w14:textId="5D7392BD" w:rsidR="00DB545A" w:rsidRPr="00727E9A" w:rsidRDefault="00DB545A" w:rsidP="00522DFD">
      <w:pPr>
        <w:pStyle w:val="Odstavecseseznamem"/>
        <w:numPr>
          <w:ilvl w:val="0"/>
          <w:numId w:val="4"/>
        </w:numPr>
        <w:spacing w:after="0" w:line="240" w:lineRule="auto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pondělí až pátek od 07:00 do 17:00 hod.</w:t>
      </w:r>
    </w:p>
    <w:p w14:paraId="6D1152E6" w14:textId="77777777" w:rsidR="00DB545A" w:rsidRPr="00727E9A" w:rsidRDefault="00DB545A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84EE13" w14:textId="77777777" w:rsidR="00DB545A" w:rsidRDefault="00DB545A" w:rsidP="00DB545A">
      <w:pPr>
        <w:jc w:val="both"/>
        <w:rPr>
          <w:rFonts w:ascii="Times New Roman" w:hAnsi="Times New Roman"/>
          <w:sz w:val="24"/>
          <w:szCs w:val="24"/>
        </w:rPr>
      </w:pPr>
    </w:p>
    <w:sectPr w:rsidR="00DB545A" w:rsidSect="00244B4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C3C2" w14:textId="77777777" w:rsidR="00B54A0B" w:rsidRDefault="00B54A0B" w:rsidP="005440B9">
      <w:pPr>
        <w:spacing w:after="0" w:line="240" w:lineRule="auto"/>
      </w:pPr>
      <w:r>
        <w:separator/>
      </w:r>
    </w:p>
  </w:endnote>
  <w:endnote w:type="continuationSeparator" w:id="0">
    <w:p w14:paraId="7E498CED" w14:textId="77777777" w:rsidR="00B54A0B" w:rsidRDefault="00B54A0B" w:rsidP="0054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65003"/>
      <w:docPartObj>
        <w:docPartGallery w:val="Page Numbers (Bottom of Page)"/>
        <w:docPartUnique/>
      </w:docPartObj>
    </w:sdtPr>
    <w:sdtContent>
      <w:p w14:paraId="57080CDB" w14:textId="1D5B2B7B" w:rsidR="00917996" w:rsidRDefault="009179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92D21" w14:textId="77777777" w:rsidR="00917996" w:rsidRDefault="00917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E96C" w14:textId="77777777" w:rsidR="00B54A0B" w:rsidRDefault="00B54A0B" w:rsidP="005440B9">
      <w:pPr>
        <w:spacing w:after="0" w:line="240" w:lineRule="auto"/>
      </w:pPr>
      <w:r>
        <w:separator/>
      </w:r>
    </w:p>
  </w:footnote>
  <w:footnote w:type="continuationSeparator" w:id="0">
    <w:p w14:paraId="10CA1BB8" w14:textId="77777777" w:rsidR="00B54A0B" w:rsidRDefault="00B54A0B" w:rsidP="0054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6C2C" w14:textId="17D570BB" w:rsidR="00917996" w:rsidRDefault="00917996" w:rsidP="00B474D6">
    <w:pPr>
      <w:spacing w:after="0"/>
      <w:jc w:val="both"/>
      <w:rPr>
        <w:rFonts w:asciiTheme="minorHAnsi" w:eastAsia="Times New Roman" w:hAnsiTheme="minorHAnsi" w:cstheme="minorHAnsi"/>
        <w:b/>
        <w:sz w:val="24"/>
        <w:szCs w:val="24"/>
      </w:rPr>
    </w:pPr>
    <w:r w:rsidRPr="00DB254F">
      <w:rPr>
        <w:rFonts w:asciiTheme="minorHAnsi" w:hAnsiTheme="minorHAnsi" w:cstheme="minorHAnsi"/>
        <w:b/>
        <w:sz w:val="24"/>
        <w:szCs w:val="24"/>
      </w:rPr>
      <w:t xml:space="preserve">Příloha č. 1 k Nařízení města Hořovice 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o placeném stání silničních motorových vozidel na místních komunikacích nebo určených úsecích v</w:t>
    </w:r>
    <w:r w:rsidR="00B474D6">
      <w:rPr>
        <w:rFonts w:asciiTheme="minorHAnsi" w:eastAsia="Times New Roman" w:hAnsiTheme="minorHAnsi" w:cstheme="minorHAnsi"/>
        <w:b/>
        <w:sz w:val="24"/>
        <w:szCs w:val="24"/>
      </w:rPr>
      <w:t> 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Hořovicích</w:t>
    </w:r>
  </w:p>
  <w:p w14:paraId="510DCFF4" w14:textId="77777777" w:rsidR="00B474D6" w:rsidRDefault="00B474D6" w:rsidP="00B474D6">
    <w:pPr>
      <w:spacing w:after="120"/>
      <w:jc w:val="both"/>
      <w:rPr>
        <w:rFonts w:asciiTheme="minorHAnsi" w:eastAsia="Times New Roman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7609"/>
    <w:multiLevelType w:val="hybridMultilevel"/>
    <w:tmpl w:val="09AEC28C"/>
    <w:lvl w:ilvl="0" w:tplc="D4E4D82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2101B4"/>
    <w:multiLevelType w:val="hybridMultilevel"/>
    <w:tmpl w:val="E6FE6236"/>
    <w:lvl w:ilvl="0" w:tplc="040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1C44B970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b/>
      </w:rPr>
    </w:lvl>
    <w:lvl w:ilvl="2" w:tplc="223848FE">
      <w:start w:val="1"/>
      <w:numFmt w:val="bullet"/>
      <w:lvlText w:val="-"/>
      <w:lvlJc w:val="left"/>
      <w:pPr>
        <w:ind w:left="2481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" w15:restartNumberingAfterBreak="0">
    <w:nsid w:val="4B955089"/>
    <w:multiLevelType w:val="singleLevel"/>
    <w:tmpl w:val="6916FA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4"/>
        <w:u w:val="none"/>
      </w:rPr>
    </w:lvl>
  </w:abstractNum>
  <w:num w:numId="1" w16cid:durableId="1972635317">
    <w:abstractNumId w:val="0"/>
  </w:num>
  <w:num w:numId="2" w16cid:durableId="1626887484">
    <w:abstractNumId w:val="1"/>
  </w:num>
  <w:num w:numId="3" w16cid:durableId="1705976859">
    <w:abstractNumId w:val="3"/>
  </w:num>
  <w:num w:numId="4" w16cid:durableId="1384060809">
    <w:abstractNumId w:val="2"/>
  </w:num>
  <w:num w:numId="5" w16cid:durableId="1413160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A"/>
    <w:rsid w:val="000C1413"/>
    <w:rsid w:val="00114AC4"/>
    <w:rsid w:val="00117BE9"/>
    <w:rsid w:val="00132CDC"/>
    <w:rsid w:val="001C60F7"/>
    <w:rsid w:val="00206069"/>
    <w:rsid w:val="002356DC"/>
    <w:rsid w:val="0023665F"/>
    <w:rsid w:val="00244B46"/>
    <w:rsid w:val="00257E22"/>
    <w:rsid w:val="00296EB7"/>
    <w:rsid w:val="002A43E3"/>
    <w:rsid w:val="0033330C"/>
    <w:rsid w:val="00361A12"/>
    <w:rsid w:val="003A2AA9"/>
    <w:rsid w:val="003C31AA"/>
    <w:rsid w:val="0044733C"/>
    <w:rsid w:val="00453932"/>
    <w:rsid w:val="00522DFD"/>
    <w:rsid w:val="00526E19"/>
    <w:rsid w:val="005440B9"/>
    <w:rsid w:val="005C1A55"/>
    <w:rsid w:val="00635444"/>
    <w:rsid w:val="006D67C9"/>
    <w:rsid w:val="0071044F"/>
    <w:rsid w:val="0079291D"/>
    <w:rsid w:val="007A237E"/>
    <w:rsid w:val="00817113"/>
    <w:rsid w:val="00850B85"/>
    <w:rsid w:val="008B4356"/>
    <w:rsid w:val="00917996"/>
    <w:rsid w:val="009715A6"/>
    <w:rsid w:val="009A03D4"/>
    <w:rsid w:val="009B5A52"/>
    <w:rsid w:val="00A0460B"/>
    <w:rsid w:val="00AE2980"/>
    <w:rsid w:val="00B13236"/>
    <w:rsid w:val="00B474D6"/>
    <w:rsid w:val="00B54A0B"/>
    <w:rsid w:val="00B778D4"/>
    <w:rsid w:val="00C80891"/>
    <w:rsid w:val="00CD1E87"/>
    <w:rsid w:val="00CF6B70"/>
    <w:rsid w:val="00D50D43"/>
    <w:rsid w:val="00DB545A"/>
    <w:rsid w:val="00DB795B"/>
    <w:rsid w:val="00E570E7"/>
    <w:rsid w:val="00F154E0"/>
    <w:rsid w:val="00F30417"/>
    <w:rsid w:val="00F9758C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9551C"/>
  <w15:chartTrackingRefBased/>
  <w15:docId w15:val="{CCC5D1FD-E364-43DE-9CE4-BB2754A1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45A"/>
    <w:pPr>
      <w:spacing w:after="200" w:line="276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B545A"/>
    <w:pPr>
      <w:ind w:left="720"/>
      <w:contextualSpacing/>
    </w:pPr>
  </w:style>
  <w:style w:type="paragraph" w:styleId="Revize">
    <w:name w:val="Revision"/>
    <w:hidden/>
    <w:uiPriority w:val="99"/>
    <w:semiHidden/>
    <w:rsid w:val="0023665F"/>
    <w:pPr>
      <w:spacing w:after="0" w:line="240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4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0B9"/>
    <w:rPr>
      <w:rFonts w:ascii="Calibri" w:eastAsiaTheme="minorHAns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4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0B9"/>
    <w:rPr>
      <w:rFonts w:ascii="Calibri" w:eastAsiaTheme="minorHAns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Marie Zimáková</cp:lastModifiedBy>
  <cp:revision>14</cp:revision>
  <cp:lastPrinted>2024-04-08T13:35:00Z</cp:lastPrinted>
  <dcterms:created xsi:type="dcterms:W3CDTF">2024-04-19T06:13:00Z</dcterms:created>
  <dcterms:modified xsi:type="dcterms:W3CDTF">2025-02-17T13:08:00Z</dcterms:modified>
</cp:coreProperties>
</file>