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630F" w:rsidRDefault="00000000">
      <w:pPr>
        <w:tabs>
          <w:tab w:val="left" w:pos="3544"/>
        </w:tabs>
        <w:jc w:val="center"/>
        <w:rPr>
          <w:rFonts w:ascii="Arial" w:eastAsia="Arial" w:hAnsi="Arial" w:cs="Arial"/>
          <w:b/>
        </w:rPr>
      </w:pPr>
      <w:bookmarkStart w:id="0" w:name="_heading=h.gjdgxs" w:colFirst="0" w:colLast="0"/>
      <w:bookmarkEnd w:id="0"/>
      <w:r>
        <w:rPr>
          <w:rFonts w:ascii="Arial" w:eastAsia="Arial" w:hAnsi="Arial" w:cs="Arial"/>
          <w:b/>
        </w:rPr>
        <w:t>OBEC Řevničov</w:t>
      </w:r>
    </w:p>
    <w:p w14:paraId="00000002" w14:textId="77777777" w:rsidR="00C1630F" w:rsidRDefault="00000000">
      <w:pPr>
        <w:spacing w:line="276" w:lineRule="auto"/>
        <w:jc w:val="center"/>
        <w:rPr>
          <w:rFonts w:ascii="Arial" w:eastAsia="Arial" w:hAnsi="Arial" w:cs="Arial"/>
          <w:b/>
        </w:rPr>
      </w:pPr>
      <w:r>
        <w:rPr>
          <w:rFonts w:ascii="Arial" w:eastAsia="Arial" w:hAnsi="Arial" w:cs="Arial"/>
          <w:b/>
        </w:rPr>
        <w:t>Zastupitelstvo obce Řevničov</w:t>
      </w:r>
    </w:p>
    <w:p w14:paraId="00000003" w14:textId="77777777" w:rsidR="00C1630F" w:rsidRDefault="00000000">
      <w:pPr>
        <w:spacing w:line="276" w:lineRule="auto"/>
        <w:jc w:val="center"/>
        <w:rPr>
          <w:rFonts w:ascii="Arial" w:eastAsia="Arial" w:hAnsi="Arial" w:cs="Arial"/>
          <w:b/>
        </w:rPr>
      </w:pPr>
      <w:r>
        <w:rPr>
          <w:rFonts w:ascii="Arial" w:eastAsia="Arial" w:hAnsi="Arial" w:cs="Arial"/>
          <w:b/>
        </w:rPr>
        <w:t>Obecně závazná vyhláška obce Řevničov</w:t>
      </w:r>
    </w:p>
    <w:p w14:paraId="00000004" w14:textId="77777777" w:rsidR="00C1630F" w:rsidRDefault="00000000">
      <w:pPr>
        <w:spacing w:after="120"/>
        <w:jc w:val="center"/>
        <w:rPr>
          <w:rFonts w:ascii="Arial" w:eastAsia="Arial" w:hAnsi="Arial" w:cs="Arial"/>
          <w:b/>
        </w:rPr>
      </w:pPr>
      <w:r>
        <w:rPr>
          <w:rFonts w:ascii="Arial" w:eastAsia="Arial" w:hAnsi="Arial" w:cs="Arial"/>
          <w:b/>
        </w:rPr>
        <w:t>o nočním klidu</w:t>
      </w:r>
    </w:p>
    <w:p w14:paraId="00000005" w14:textId="77777777" w:rsidR="00C1630F" w:rsidRDefault="00C1630F">
      <w:pPr>
        <w:rPr>
          <w:rFonts w:ascii="Arial" w:eastAsia="Arial" w:hAnsi="Arial" w:cs="Arial"/>
          <w:b/>
          <w:sz w:val="22"/>
          <w:szCs w:val="22"/>
          <w:u w:val="single"/>
        </w:rPr>
      </w:pPr>
    </w:p>
    <w:p w14:paraId="00000006" w14:textId="4ECB717D" w:rsidR="00C1630F" w:rsidRDefault="00000000">
      <w:pPr>
        <w:spacing w:after="120"/>
        <w:jc w:val="both"/>
        <w:rPr>
          <w:rFonts w:ascii="Arial" w:eastAsia="Arial" w:hAnsi="Arial" w:cs="Arial"/>
          <w:sz w:val="22"/>
          <w:szCs w:val="22"/>
        </w:rPr>
      </w:pPr>
      <w:r>
        <w:rPr>
          <w:rFonts w:ascii="Arial" w:eastAsia="Arial" w:hAnsi="Arial" w:cs="Arial"/>
          <w:sz w:val="22"/>
          <w:szCs w:val="22"/>
        </w:rPr>
        <w:t xml:space="preserve">Zastupitelstvo obce Řevničov se na svém zasedání dne </w:t>
      </w:r>
      <w:r w:rsidR="00677151">
        <w:rPr>
          <w:rFonts w:ascii="Arial" w:eastAsia="Arial" w:hAnsi="Arial" w:cs="Arial"/>
          <w:sz w:val="22"/>
          <w:szCs w:val="22"/>
        </w:rPr>
        <w:t>17. 2. 2025</w:t>
      </w:r>
      <w:r>
        <w:rPr>
          <w:rFonts w:ascii="Arial" w:eastAsia="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0000007" w14:textId="77777777" w:rsidR="00C1630F" w:rsidRDefault="00C1630F">
      <w:pPr>
        <w:spacing w:after="120"/>
        <w:jc w:val="both"/>
        <w:rPr>
          <w:rFonts w:ascii="Arial" w:eastAsia="Arial" w:hAnsi="Arial" w:cs="Arial"/>
          <w:sz w:val="22"/>
          <w:szCs w:val="22"/>
        </w:rPr>
      </w:pPr>
    </w:p>
    <w:p w14:paraId="00000008" w14:textId="77777777" w:rsidR="00C1630F" w:rsidRDefault="00000000">
      <w:pPr>
        <w:jc w:val="center"/>
        <w:rPr>
          <w:rFonts w:ascii="Arial" w:eastAsia="Arial" w:hAnsi="Arial" w:cs="Arial"/>
          <w:b/>
          <w:sz w:val="22"/>
          <w:szCs w:val="22"/>
        </w:rPr>
      </w:pPr>
      <w:r>
        <w:rPr>
          <w:rFonts w:ascii="Arial" w:eastAsia="Arial" w:hAnsi="Arial" w:cs="Arial"/>
          <w:b/>
          <w:sz w:val="22"/>
          <w:szCs w:val="22"/>
        </w:rPr>
        <w:t>Čl. 1</w:t>
      </w:r>
    </w:p>
    <w:p w14:paraId="00000009" w14:textId="77777777" w:rsidR="00C1630F" w:rsidRDefault="00000000">
      <w:pPr>
        <w:jc w:val="center"/>
        <w:rPr>
          <w:rFonts w:ascii="Arial" w:eastAsia="Arial" w:hAnsi="Arial" w:cs="Arial"/>
          <w:b/>
          <w:sz w:val="22"/>
          <w:szCs w:val="22"/>
        </w:rPr>
      </w:pPr>
      <w:r>
        <w:rPr>
          <w:rFonts w:ascii="Arial" w:eastAsia="Arial" w:hAnsi="Arial" w:cs="Arial"/>
          <w:b/>
          <w:sz w:val="22"/>
          <w:szCs w:val="22"/>
        </w:rPr>
        <w:t xml:space="preserve">Předmět </w:t>
      </w:r>
    </w:p>
    <w:p w14:paraId="0000000A" w14:textId="77777777" w:rsidR="00C1630F" w:rsidRDefault="00C1630F">
      <w:pPr>
        <w:jc w:val="both"/>
        <w:rPr>
          <w:rFonts w:ascii="Arial" w:eastAsia="Arial" w:hAnsi="Arial" w:cs="Arial"/>
          <w:b/>
          <w:sz w:val="22"/>
          <w:szCs w:val="22"/>
        </w:rPr>
      </w:pPr>
    </w:p>
    <w:p w14:paraId="0000000B" w14:textId="77777777" w:rsidR="00C1630F" w:rsidRDefault="00000000">
      <w:pPr>
        <w:spacing w:after="120"/>
        <w:jc w:val="both"/>
        <w:rPr>
          <w:rFonts w:ascii="Arial" w:eastAsia="Arial" w:hAnsi="Arial" w:cs="Arial"/>
          <w:sz w:val="22"/>
          <w:szCs w:val="22"/>
        </w:rPr>
      </w:pPr>
      <w:r>
        <w:rPr>
          <w:rFonts w:ascii="Arial" w:eastAsia="Arial" w:hAnsi="Arial" w:cs="Arial"/>
          <w:sz w:val="22"/>
          <w:szCs w:val="22"/>
        </w:rPr>
        <w:t>Předmětem této obecně závazné vyhlášky je stanovení výjimečných případů, při nichž je doba nočního klidu vymezena dobou kratší.</w:t>
      </w:r>
    </w:p>
    <w:p w14:paraId="0000000C" w14:textId="77777777" w:rsidR="00C1630F" w:rsidRDefault="00C1630F">
      <w:pPr>
        <w:spacing w:after="120"/>
        <w:jc w:val="both"/>
        <w:rPr>
          <w:rFonts w:ascii="Arial" w:eastAsia="Arial" w:hAnsi="Arial" w:cs="Arial"/>
          <w:sz w:val="22"/>
          <w:szCs w:val="22"/>
        </w:rPr>
      </w:pPr>
    </w:p>
    <w:p w14:paraId="0000000D" w14:textId="77777777" w:rsidR="00C1630F" w:rsidRDefault="00000000">
      <w:pPr>
        <w:jc w:val="center"/>
        <w:rPr>
          <w:rFonts w:ascii="Arial" w:eastAsia="Arial" w:hAnsi="Arial" w:cs="Arial"/>
          <w:b/>
          <w:sz w:val="22"/>
          <w:szCs w:val="22"/>
        </w:rPr>
      </w:pPr>
      <w:r>
        <w:rPr>
          <w:rFonts w:ascii="Arial" w:eastAsia="Arial" w:hAnsi="Arial" w:cs="Arial"/>
          <w:b/>
          <w:sz w:val="22"/>
          <w:szCs w:val="22"/>
        </w:rPr>
        <w:t>Čl. 2</w:t>
      </w:r>
    </w:p>
    <w:p w14:paraId="0000000E" w14:textId="77777777" w:rsidR="00C1630F" w:rsidRDefault="00000000">
      <w:pPr>
        <w:jc w:val="center"/>
        <w:rPr>
          <w:rFonts w:ascii="Arial" w:eastAsia="Arial" w:hAnsi="Arial" w:cs="Arial"/>
          <w:b/>
          <w:sz w:val="22"/>
          <w:szCs w:val="22"/>
        </w:rPr>
      </w:pPr>
      <w:r>
        <w:rPr>
          <w:rFonts w:ascii="Arial" w:eastAsia="Arial" w:hAnsi="Arial" w:cs="Arial"/>
          <w:b/>
          <w:sz w:val="22"/>
          <w:szCs w:val="22"/>
        </w:rPr>
        <w:t>Doba nočního klidu</w:t>
      </w:r>
    </w:p>
    <w:p w14:paraId="0000000F" w14:textId="77777777" w:rsidR="00C1630F" w:rsidRDefault="00C1630F">
      <w:pPr>
        <w:jc w:val="center"/>
        <w:rPr>
          <w:rFonts w:ascii="Arial" w:eastAsia="Arial" w:hAnsi="Arial" w:cs="Arial"/>
          <w:b/>
          <w:sz w:val="22"/>
          <w:szCs w:val="22"/>
        </w:rPr>
      </w:pPr>
    </w:p>
    <w:p w14:paraId="00000010" w14:textId="77777777" w:rsidR="00C1630F" w:rsidRDefault="00000000">
      <w:pPr>
        <w:spacing w:after="120"/>
        <w:jc w:val="both"/>
        <w:rPr>
          <w:rFonts w:ascii="Arial" w:eastAsia="Arial" w:hAnsi="Arial" w:cs="Arial"/>
          <w:sz w:val="22"/>
          <w:szCs w:val="22"/>
        </w:rPr>
      </w:pPr>
      <w:r>
        <w:rPr>
          <w:rFonts w:ascii="Arial" w:eastAsia="Arial" w:hAnsi="Arial" w:cs="Arial"/>
          <w:sz w:val="22"/>
          <w:szCs w:val="22"/>
        </w:rPr>
        <w:t>Dobou nočního klidu se rozumí doba od dvacáté druhé do šesté hodiny.</w:t>
      </w:r>
      <w:r>
        <w:rPr>
          <w:rFonts w:ascii="Arial" w:eastAsia="Arial" w:hAnsi="Arial" w:cs="Arial"/>
          <w:sz w:val="22"/>
          <w:szCs w:val="22"/>
          <w:vertAlign w:val="superscript"/>
        </w:rPr>
        <w:footnoteReference w:id="1"/>
      </w:r>
    </w:p>
    <w:p w14:paraId="00000011" w14:textId="77777777" w:rsidR="00C1630F" w:rsidRDefault="00C1630F">
      <w:pPr>
        <w:spacing w:after="120"/>
        <w:rPr>
          <w:rFonts w:ascii="Arial" w:eastAsia="Arial" w:hAnsi="Arial" w:cs="Arial"/>
          <w:sz w:val="22"/>
          <w:szCs w:val="22"/>
        </w:rPr>
      </w:pPr>
    </w:p>
    <w:p w14:paraId="00000012" w14:textId="77777777" w:rsidR="00C1630F" w:rsidRDefault="00000000">
      <w:pPr>
        <w:jc w:val="center"/>
        <w:rPr>
          <w:rFonts w:ascii="Arial" w:eastAsia="Arial" w:hAnsi="Arial" w:cs="Arial"/>
          <w:b/>
          <w:sz w:val="22"/>
          <w:szCs w:val="22"/>
        </w:rPr>
      </w:pPr>
      <w:r>
        <w:rPr>
          <w:rFonts w:ascii="Arial" w:eastAsia="Arial" w:hAnsi="Arial" w:cs="Arial"/>
          <w:b/>
          <w:sz w:val="22"/>
          <w:szCs w:val="22"/>
        </w:rPr>
        <w:t>Čl. 3</w:t>
      </w:r>
    </w:p>
    <w:p w14:paraId="00000013" w14:textId="77777777" w:rsidR="00C1630F" w:rsidRDefault="00000000">
      <w:pPr>
        <w:jc w:val="center"/>
        <w:rPr>
          <w:rFonts w:ascii="Arial" w:eastAsia="Arial" w:hAnsi="Arial" w:cs="Arial"/>
          <w:i/>
          <w:sz w:val="22"/>
          <w:szCs w:val="22"/>
        </w:rPr>
      </w:pPr>
      <w:r>
        <w:rPr>
          <w:rFonts w:ascii="Arial" w:eastAsia="Arial" w:hAnsi="Arial" w:cs="Arial"/>
          <w:b/>
          <w:sz w:val="22"/>
          <w:szCs w:val="22"/>
        </w:rPr>
        <w:t>Stanovení výjimečných případů, při nichž je doba nočního klidu vymezena dobou kratší</w:t>
      </w:r>
    </w:p>
    <w:p w14:paraId="00000014" w14:textId="77777777" w:rsidR="00C1630F" w:rsidRDefault="00C1630F">
      <w:pPr>
        <w:tabs>
          <w:tab w:val="left" w:pos="284"/>
        </w:tabs>
        <w:spacing w:after="120"/>
        <w:rPr>
          <w:rFonts w:ascii="Arial" w:eastAsia="Arial" w:hAnsi="Arial" w:cs="Arial"/>
          <w:sz w:val="22"/>
          <w:szCs w:val="22"/>
        </w:rPr>
      </w:pPr>
    </w:p>
    <w:p w14:paraId="00000015" w14:textId="77777777" w:rsidR="00C1630F" w:rsidRDefault="00000000">
      <w:pPr>
        <w:tabs>
          <w:tab w:val="left" w:pos="284"/>
        </w:tabs>
        <w:spacing w:after="120"/>
        <w:rPr>
          <w:rFonts w:ascii="Arial" w:eastAsia="Arial" w:hAnsi="Arial" w:cs="Arial"/>
          <w:sz w:val="22"/>
          <w:szCs w:val="22"/>
        </w:rPr>
      </w:pPr>
      <w:bookmarkStart w:id="1" w:name="_heading=h.30j0zll" w:colFirst="0" w:colLast="0"/>
      <w:bookmarkEnd w:id="1"/>
      <w:r>
        <w:rPr>
          <w:rFonts w:ascii="Arial" w:eastAsia="Arial" w:hAnsi="Arial" w:cs="Arial"/>
          <w:sz w:val="22"/>
          <w:szCs w:val="22"/>
        </w:rPr>
        <w:t>1) Doba nočního klidu se vymezuje od druhé do šesté hodiny, a to v následujících případech:</w:t>
      </w:r>
    </w:p>
    <w:p w14:paraId="00000016"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v noci z 31. prosince na 1. ledna z důvodu konání oslav příchodu nového roku,</w:t>
      </w:r>
    </w:p>
    <w:p w14:paraId="00000017"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v noci z 30. dubna na 1. května z důvodu akce „Pálení čarodějnic“,</w:t>
      </w:r>
    </w:p>
    <w:p w14:paraId="00000018"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v noci z 10. května 2025 na 11. května 2025 z důvodu konání akce „Volejbalový turnaj – 100+ CUP“,</w:t>
      </w:r>
    </w:p>
    <w:p w14:paraId="00000019"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 xml:space="preserve">v noci ze dne konání tradiční akce Máje na den následující konané jednu noc </w:t>
      </w:r>
      <w:r>
        <w:rPr>
          <w:rFonts w:ascii="Arial" w:eastAsia="Arial" w:hAnsi="Arial" w:cs="Arial"/>
          <w:color w:val="000000"/>
          <w:sz w:val="22"/>
          <w:szCs w:val="22"/>
        </w:rPr>
        <w:br/>
        <w:t>ze soboty na neděli v měsíci květnu,</w:t>
      </w:r>
    </w:p>
    <w:p w14:paraId="0000001A" w14:textId="77AF6A4A" w:rsidR="00C1630F" w:rsidRDefault="00000000" w:rsidP="00677151">
      <w:pPr>
        <w:numPr>
          <w:ilvl w:val="0"/>
          <w:numId w:val="1"/>
        </w:numPr>
        <w:tabs>
          <w:tab w:val="left" w:pos="284"/>
        </w:tabs>
        <w:jc w:val="both"/>
        <w:rPr>
          <w:rFonts w:ascii="Arial" w:eastAsia="Arial" w:hAnsi="Arial" w:cs="Arial"/>
          <w:sz w:val="22"/>
          <w:szCs w:val="22"/>
        </w:rPr>
      </w:pPr>
      <w:r>
        <w:rPr>
          <w:rFonts w:ascii="Arial" w:eastAsia="Arial" w:hAnsi="Arial" w:cs="Arial"/>
          <w:sz w:val="22"/>
          <w:szCs w:val="22"/>
        </w:rPr>
        <w:t xml:space="preserve">v noci ze dne konání tradiční akce </w:t>
      </w:r>
      <w:proofErr w:type="spellStart"/>
      <w:r>
        <w:rPr>
          <w:rFonts w:ascii="Arial" w:eastAsia="Arial" w:hAnsi="Arial" w:cs="Arial"/>
          <w:sz w:val="22"/>
          <w:szCs w:val="22"/>
        </w:rPr>
        <w:t>Dokopná</w:t>
      </w:r>
      <w:proofErr w:type="spellEnd"/>
      <w:r w:rsidR="00677151">
        <w:rPr>
          <w:rFonts w:ascii="Arial" w:eastAsia="Arial" w:hAnsi="Arial" w:cs="Arial"/>
          <w:sz w:val="22"/>
          <w:szCs w:val="22"/>
        </w:rPr>
        <w:t xml:space="preserve"> na fotbalovém hřišti</w:t>
      </w:r>
      <w:r>
        <w:rPr>
          <w:rFonts w:ascii="Arial" w:eastAsia="Arial" w:hAnsi="Arial" w:cs="Arial"/>
          <w:sz w:val="22"/>
          <w:szCs w:val="22"/>
        </w:rPr>
        <w:t xml:space="preserve"> na den následující konané jednu noc ze soboty na neděli v měsíci červn</w:t>
      </w:r>
      <w:r w:rsidR="00677151">
        <w:rPr>
          <w:rFonts w:ascii="Arial" w:eastAsia="Arial" w:hAnsi="Arial" w:cs="Arial"/>
          <w:sz w:val="22"/>
          <w:szCs w:val="22"/>
        </w:rPr>
        <w:t>u</w:t>
      </w:r>
      <w:r>
        <w:rPr>
          <w:rFonts w:ascii="Arial" w:eastAsia="Arial" w:hAnsi="Arial" w:cs="Arial"/>
          <w:sz w:val="22"/>
          <w:szCs w:val="22"/>
        </w:rPr>
        <w:t>,</w:t>
      </w:r>
    </w:p>
    <w:p w14:paraId="0000001B"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v noci z 28. června 2025 na 29. června 2025 z důvodu konání akce Oslava 700 let od založení obce Řevničov,</w:t>
      </w:r>
    </w:p>
    <w:p w14:paraId="0000001C"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 xml:space="preserve">v noci z 29. června 2025 na 30. června 2025 z důvodu konání akce „Exhibiční utkání </w:t>
      </w:r>
      <w:proofErr w:type="spellStart"/>
      <w:r>
        <w:rPr>
          <w:rFonts w:ascii="Arial" w:eastAsia="Arial" w:hAnsi="Arial" w:cs="Arial"/>
          <w:color w:val="000000"/>
          <w:sz w:val="22"/>
          <w:szCs w:val="22"/>
        </w:rPr>
        <w:t>Sigiteam</w:t>
      </w:r>
      <w:proofErr w:type="spellEnd"/>
      <w:r>
        <w:rPr>
          <w:rFonts w:ascii="Arial" w:eastAsia="Arial" w:hAnsi="Arial" w:cs="Arial"/>
          <w:color w:val="000000"/>
          <w:sz w:val="22"/>
          <w:szCs w:val="22"/>
        </w:rPr>
        <w:t>“ a navazující oslavy,</w:t>
      </w:r>
    </w:p>
    <w:p w14:paraId="0000001D"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v noci z 31. srpna na 1. září z důvodu obecní slavnosti „Rozloučení s prázdninami“,</w:t>
      </w:r>
    </w:p>
    <w:p w14:paraId="0000001E" w14:textId="77777777" w:rsidR="00C1630F" w:rsidRDefault="00000000">
      <w:pPr>
        <w:numPr>
          <w:ilvl w:val="0"/>
          <w:numId w:val="1"/>
        </w:numPr>
        <w:pBdr>
          <w:top w:val="nil"/>
          <w:left w:val="nil"/>
          <w:bottom w:val="nil"/>
          <w:right w:val="nil"/>
          <w:between w:val="nil"/>
        </w:pBdr>
        <w:tabs>
          <w:tab w:val="left" w:pos="284"/>
        </w:tabs>
        <w:jc w:val="both"/>
        <w:rPr>
          <w:rFonts w:ascii="Arial" w:eastAsia="Arial" w:hAnsi="Arial" w:cs="Arial"/>
          <w:color w:val="000000"/>
          <w:sz w:val="22"/>
          <w:szCs w:val="22"/>
        </w:rPr>
      </w:pPr>
      <w:r>
        <w:rPr>
          <w:rFonts w:ascii="Arial" w:eastAsia="Arial" w:hAnsi="Arial" w:cs="Arial"/>
          <w:color w:val="000000"/>
          <w:sz w:val="22"/>
          <w:szCs w:val="22"/>
        </w:rPr>
        <w:t>v noci z 13. 9. 2025 na 14. 9. 2025 z důvodu společenské akce „Dočesná“,</w:t>
      </w:r>
    </w:p>
    <w:p w14:paraId="0000001F" w14:textId="77777777" w:rsidR="00C1630F" w:rsidRDefault="00000000">
      <w:pPr>
        <w:numPr>
          <w:ilvl w:val="0"/>
          <w:numId w:val="1"/>
        </w:numPr>
        <w:pBdr>
          <w:top w:val="nil"/>
          <w:left w:val="nil"/>
          <w:bottom w:val="nil"/>
          <w:right w:val="nil"/>
          <w:between w:val="nil"/>
        </w:pBdr>
        <w:tabs>
          <w:tab w:val="left" w:pos="284"/>
        </w:tabs>
        <w:spacing w:after="120"/>
        <w:jc w:val="both"/>
        <w:rPr>
          <w:rFonts w:ascii="Arial" w:eastAsia="Arial" w:hAnsi="Arial" w:cs="Arial"/>
          <w:color w:val="000000"/>
          <w:sz w:val="22"/>
          <w:szCs w:val="22"/>
        </w:rPr>
      </w:pPr>
      <w:r>
        <w:rPr>
          <w:rFonts w:ascii="Arial" w:eastAsia="Arial" w:hAnsi="Arial" w:cs="Arial"/>
          <w:color w:val="000000"/>
          <w:sz w:val="22"/>
          <w:szCs w:val="22"/>
        </w:rPr>
        <w:t>v noci z 18. 10. 2025 na 19. 10. 2025 z důvodu obecní slavnosti „Posvícení“.</w:t>
      </w:r>
    </w:p>
    <w:p w14:paraId="00000020" w14:textId="77777777" w:rsidR="00C1630F" w:rsidRDefault="00C1630F">
      <w:pPr>
        <w:tabs>
          <w:tab w:val="left" w:pos="284"/>
        </w:tabs>
        <w:spacing w:after="120"/>
        <w:jc w:val="both"/>
        <w:rPr>
          <w:rFonts w:ascii="Arial" w:eastAsia="Arial" w:hAnsi="Arial" w:cs="Arial"/>
          <w:sz w:val="22"/>
          <w:szCs w:val="22"/>
        </w:rPr>
      </w:pPr>
    </w:p>
    <w:p w14:paraId="00000021" w14:textId="77777777" w:rsidR="00C1630F" w:rsidRDefault="00000000" w:rsidP="00677151">
      <w:pPr>
        <w:keepNext/>
        <w:jc w:val="center"/>
        <w:rPr>
          <w:rFonts w:ascii="Arial" w:eastAsia="Arial" w:hAnsi="Arial" w:cs="Arial"/>
          <w:b/>
          <w:sz w:val="22"/>
          <w:szCs w:val="22"/>
        </w:rPr>
      </w:pPr>
      <w:r>
        <w:rPr>
          <w:rFonts w:ascii="Arial" w:eastAsia="Arial" w:hAnsi="Arial" w:cs="Arial"/>
          <w:b/>
          <w:sz w:val="22"/>
          <w:szCs w:val="22"/>
        </w:rPr>
        <w:lastRenderedPageBreak/>
        <w:t>Čl. 4</w:t>
      </w:r>
    </w:p>
    <w:p w14:paraId="00000022" w14:textId="77777777" w:rsidR="00C1630F" w:rsidRDefault="00000000" w:rsidP="00677151">
      <w:pPr>
        <w:keepNext/>
        <w:jc w:val="center"/>
        <w:rPr>
          <w:rFonts w:ascii="Arial" w:eastAsia="Arial" w:hAnsi="Arial" w:cs="Arial"/>
          <w:b/>
          <w:sz w:val="22"/>
          <w:szCs w:val="22"/>
        </w:rPr>
      </w:pPr>
      <w:r>
        <w:rPr>
          <w:rFonts w:ascii="Arial" w:eastAsia="Arial" w:hAnsi="Arial" w:cs="Arial"/>
          <w:b/>
          <w:sz w:val="22"/>
          <w:szCs w:val="22"/>
        </w:rPr>
        <w:t>Zrušovací ustanovení</w:t>
      </w:r>
    </w:p>
    <w:p w14:paraId="00000023" w14:textId="77777777" w:rsidR="00C1630F" w:rsidRDefault="00C1630F" w:rsidP="00677151">
      <w:pPr>
        <w:keepNext/>
        <w:ind w:left="357"/>
        <w:jc w:val="center"/>
        <w:rPr>
          <w:rFonts w:ascii="Arial" w:eastAsia="Arial" w:hAnsi="Arial" w:cs="Arial"/>
          <w:b/>
          <w:sz w:val="22"/>
          <w:szCs w:val="22"/>
          <w:u w:val="single"/>
        </w:rPr>
      </w:pPr>
    </w:p>
    <w:p w14:paraId="00000024" w14:textId="77777777" w:rsidR="00C1630F" w:rsidRDefault="00000000">
      <w:pPr>
        <w:spacing w:before="120"/>
        <w:jc w:val="both"/>
        <w:rPr>
          <w:rFonts w:ascii="Arial" w:eastAsia="Arial" w:hAnsi="Arial" w:cs="Arial"/>
          <w:sz w:val="22"/>
          <w:szCs w:val="22"/>
        </w:rPr>
      </w:pPr>
      <w:bookmarkStart w:id="2" w:name="_heading=h.1fob9te" w:colFirst="0" w:colLast="0"/>
      <w:bookmarkEnd w:id="2"/>
      <w:r>
        <w:rPr>
          <w:rFonts w:ascii="Arial" w:eastAsia="Arial" w:hAnsi="Arial" w:cs="Arial"/>
          <w:sz w:val="22"/>
          <w:szCs w:val="22"/>
        </w:rPr>
        <w:t>Zrušuje se obecně závazná vyhláška č. 5/2024 ze dne 17. 6. 2024.</w:t>
      </w:r>
    </w:p>
    <w:p w14:paraId="00000025" w14:textId="77777777" w:rsidR="00C1630F" w:rsidRDefault="00C1630F">
      <w:pPr>
        <w:spacing w:before="120"/>
        <w:jc w:val="both"/>
        <w:rPr>
          <w:rFonts w:ascii="Arial" w:eastAsia="Arial" w:hAnsi="Arial" w:cs="Arial"/>
          <w:sz w:val="22"/>
          <w:szCs w:val="22"/>
        </w:rPr>
      </w:pPr>
    </w:p>
    <w:p w14:paraId="00000026" w14:textId="77777777" w:rsidR="00C1630F" w:rsidRDefault="00000000">
      <w:pPr>
        <w:jc w:val="center"/>
        <w:rPr>
          <w:rFonts w:ascii="Arial" w:eastAsia="Arial" w:hAnsi="Arial" w:cs="Arial"/>
          <w:b/>
          <w:sz w:val="22"/>
          <w:szCs w:val="22"/>
        </w:rPr>
      </w:pPr>
      <w:r>
        <w:rPr>
          <w:rFonts w:ascii="Arial" w:eastAsia="Arial" w:hAnsi="Arial" w:cs="Arial"/>
          <w:b/>
          <w:sz w:val="22"/>
          <w:szCs w:val="22"/>
        </w:rPr>
        <w:t>Čl. 5</w:t>
      </w:r>
    </w:p>
    <w:p w14:paraId="00000027" w14:textId="77777777" w:rsidR="00C1630F" w:rsidRDefault="00000000">
      <w:pPr>
        <w:jc w:val="center"/>
        <w:rPr>
          <w:rFonts w:ascii="Arial" w:eastAsia="Arial" w:hAnsi="Arial" w:cs="Arial"/>
          <w:b/>
          <w:sz w:val="22"/>
          <w:szCs w:val="22"/>
        </w:rPr>
      </w:pPr>
      <w:r>
        <w:rPr>
          <w:rFonts w:ascii="Arial" w:eastAsia="Arial" w:hAnsi="Arial" w:cs="Arial"/>
          <w:b/>
          <w:sz w:val="22"/>
          <w:szCs w:val="22"/>
        </w:rPr>
        <w:t>Účinnost</w:t>
      </w:r>
    </w:p>
    <w:p w14:paraId="00000028" w14:textId="77777777" w:rsidR="00C1630F" w:rsidRDefault="00C1630F">
      <w:pPr>
        <w:jc w:val="center"/>
        <w:rPr>
          <w:rFonts w:ascii="Arial" w:eastAsia="Arial" w:hAnsi="Arial" w:cs="Arial"/>
          <w:b/>
          <w:sz w:val="22"/>
          <w:szCs w:val="22"/>
        </w:rPr>
      </w:pPr>
    </w:p>
    <w:p w14:paraId="00000029" w14:textId="77777777" w:rsidR="00C1630F" w:rsidRDefault="00000000">
      <w:pPr>
        <w:jc w:val="both"/>
        <w:rPr>
          <w:rFonts w:ascii="Arial" w:eastAsia="Arial" w:hAnsi="Arial" w:cs="Arial"/>
          <w:sz w:val="22"/>
          <w:szCs w:val="22"/>
        </w:rPr>
      </w:pPr>
      <w:r>
        <w:rPr>
          <w:rFonts w:ascii="Arial" w:eastAsia="Arial" w:hAnsi="Arial" w:cs="Arial"/>
          <w:sz w:val="22"/>
          <w:szCs w:val="22"/>
        </w:rPr>
        <w:t>Tato obecně závazná vyhláška nabývá účinnosti počátkem patnáctého dne následujícího po dni jejího vyhlášení.</w:t>
      </w:r>
    </w:p>
    <w:p w14:paraId="0000002A" w14:textId="77777777" w:rsidR="00C1630F" w:rsidRDefault="00C1630F">
      <w:pPr>
        <w:spacing w:after="120"/>
        <w:rPr>
          <w:rFonts w:ascii="Arial" w:eastAsia="Arial" w:hAnsi="Arial" w:cs="Arial"/>
          <w:sz w:val="22"/>
          <w:szCs w:val="22"/>
        </w:rPr>
      </w:pPr>
    </w:p>
    <w:p w14:paraId="0000002B" w14:textId="77777777" w:rsidR="00C1630F" w:rsidRDefault="00C1630F">
      <w:pPr>
        <w:spacing w:after="120"/>
        <w:rPr>
          <w:rFonts w:ascii="Arial" w:eastAsia="Arial" w:hAnsi="Arial" w:cs="Arial"/>
          <w:sz w:val="22"/>
          <w:szCs w:val="22"/>
        </w:rPr>
      </w:pPr>
    </w:p>
    <w:p w14:paraId="0000002C" w14:textId="77777777" w:rsidR="00C1630F" w:rsidRDefault="00000000">
      <w:pPr>
        <w:spacing w:after="120"/>
        <w:rPr>
          <w:rFonts w:ascii="Arial" w:eastAsia="Arial" w:hAnsi="Arial" w:cs="Arial"/>
          <w:i/>
          <w:sz w:val="22"/>
          <w:szCs w:val="22"/>
        </w:rPr>
      </w:pPr>
      <w:r>
        <w:rPr>
          <w:rFonts w:ascii="Arial" w:eastAsia="Arial" w:hAnsi="Arial" w:cs="Arial"/>
          <w:sz w:val="22"/>
          <w:szCs w:val="22"/>
        </w:rPr>
        <w:t xml:space="preserve">      </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p>
    <w:p w14:paraId="0000002D" w14:textId="77777777" w:rsidR="00C1630F" w:rsidRDefault="00000000">
      <w:pPr>
        <w:spacing w:after="120"/>
        <w:rPr>
          <w:rFonts w:ascii="Arial" w:eastAsia="Arial" w:hAnsi="Arial" w:cs="Arial"/>
          <w:sz w:val="22"/>
          <w:szCs w:val="22"/>
        </w:rPr>
      </w:pPr>
      <w:r>
        <w:rPr>
          <w:rFonts w:ascii="Arial" w:eastAsia="Arial" w:hAnsi="Arial" w:cs="Arial"/>
          <w:sz w:val="22"/>
          <w:szCs w:val="22"/>
        </w:rPr>
        <w:t>Mgr. Dominik Petráček, v.r.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Lubomír Pondělíček, v.r.</w:t>
      </w:r>
    </w:p>
    <w:p w14:paraId="0000002E" w14:textId="77777777" w:rsidR="00C1630F" w:rsidRDefault="00000000">
      <w:pPr>
        <w:spacing w:after="120"/>
        <w:rPr>
          <w:rFonts w:ascii="Arial" w:eastAsia="Arial" w:hAnsi="Arial" w:cs="Arial"/>
          <w:sz w:val="22"/>
          <w:szCs w:val="22"/>
        </w:rPr>
      </w:pPr>
      <w:r>
        <w:rPr>
          <w:rFonts w:ascii="Arial" w:eastAsia="Arial" w:hAnsi="Arial" w:cs="Arial"/>
          <w:sz w:val="22"/>
          <w:szCs w:val="22"/>
        </w:rPr>
        <w:t>starosta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místostarosta</w:t>
      </w:r>
    </w:p>
    <w:p w14:paraId="0000002F" w14:textId="77777777" w:rsidR="00C1630F" w:rsidRDefault="00000000">
      <w:pPr>
        <w:rPr>
          <w:b/>
        </w:rPr>
      </w:pPr>
      <w:r>
        <w:rPr>
          <w:b/>
        </w:rPr>
        <w:t>_________________________________________________________________________</w:t>
      </w:r>
    </w:p>
    <w:p w14:paraId="00000030" w14:textId="77777777" w:rsidR="00C1630F" w:rsidRDefault="00C1630F">
      <w:pPr>
        <w:tabs>
          <w:tab w:val="left" w:pos="3780"/>
        </w:tabs>
        <w:jc w:val="both"/>
        <w:rPr>
          <w:rFonts w:ascii="Arial" w:eastAsia="Arial" w:hAnsi="Arial" w:cs="Arial"/>
          <w:sz w:val="22"/>
          <w:szCs w:val="22"/>
        </w:rPr>
      </w:pPr>
    </w:p>
    <w:sectPr w:rsidR="00C1630F">
      <w:pgSz w:w="11906" w:h="16838"/>
      <w:pgMar w:top="709"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6E6F" w14:textId="77777777" w:rsidR="001D226E" w:rsidRDefault="001D226E">
      <w:r>
        <w:separator/>
      </w:r>
    </w:p>
  </w:endnote>
  <w:endnote w:type="continuationSeparator" w:id="0">
    <w:p w14:paraId="1A817432" w14:textId="77777777" w:rsidR="001D226E" w:rsidRDefault="001D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FD52" w14:textId="77777777" w:rsidR="001D226E" w:rsidRDefault="001D226E">
      <w:r>
        <w:separator/>
      </w:r>
    </w:p>
  </w:footnote>
  <w:footnote w:type="continuationSeparator" w:id="0">
    <w:p w14:paraId="2970AF87" w14:textId="77777777" w:rsidR="001D226E" w:rsidRDefault="001D226E">
      <w:r>
        <w:continuationSeparator/>
      </w:r>
    </w:p>
  </w:footnote>
  <w:footnote w:id="1">
    <w:p w14:paraId="00000031" w14:textId="77777777" w:rsidR="00C1630F" w:rsidRDefault="00000000">
      <w:pPr>
        <w:pBdr>
          <w:top w:val="nil"/>
          <w:left w:val="nil"/>
          <w:bottom w:val="nil"/>
          <w:right w:val="nil"/>
          <w:between w:val="nil"/>
        </w:pBdr>
        <w:jc w:val="both"/>
        <w:rPr>
          <w:rFonts w:ascii="Arial" w:eastAsia="Arial" w:hAnsi="Arial" w:cs="Arial"/>
          <w:i/>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20"/>
          <w:szCs w:val="20"/>
        </w:rPr>
        <w:t xml:space="preserve">dle ustanovení § 5 odst. 7 zákona č. 251/2016 Sb., o některých přestupcích, ve znění pozdějších předpisů, platí, že: </w:t>
      </w:r>
      <w:r>
        <w:rPr>
          <w:rFonts w:ascii="Arial" w:eastAsia="Arial" w:hAnsi="Arial" w:cs="Arial"/>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000032" w14:textId="77777777" w:rsidR="00C1630F" w:rsidRDefault="00C1630F">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4101"/>
    <w:multiLevelType w:val="multilevel"/>
    <w:tmpl w:val="E5EE5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738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0F"/>
    <w:rsid w:val="001361CB"/>
    <w:rsid w:val="001D226E"/>
    <w:rsid w:val="00677151"/>
    <w:rsid w:val="00C16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6088"/>
  <w15:docId w15:val="{4A11D1E5-7F71-457A-AFD9-4D5B620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szCs w:val="2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708" w:firstLine="357"/>
      <w:jc w:val="both"/>
    </w:pPr>
    <w:rPr>
      <w:szCs w:val="20"/>
    </w:rPr>
  </w:style>
  <w:style w:type="paragraph" w:styleId="BodyTextIndent2">
    <w:name w:val="Body Text Indent 2"/>
    <w:basedOn w:val="Normal"/>
    <w:pPr>
      <w:ind w:left="708" w:firstLine="360"/>
      <w:jc w:val="both"/>
    </w:pPr>
    <w:rPr>
      <w:bCs/>
      <w:szCs w:val="20"/>
    </w:rPr>
  </w:style>
  <w:style w:type="paragraph" w:styleId="Header">
    <w:name w:val="header"/>
    <w:basedOn w:val="Normal"/>
    <w:pPr>
      <w:tabs>
        <w:tab w:val="center" w:pos="4536"/>
        <w:tab w:val="right" w:pos="9072"/>
      </w:tabs>
    </w:pPr>
    <w:rPr>
      <w:szCs w:val="20"/>
    </w:rPr>
  </w:style>
  <w:style w:type="paragraph" w:styleId="BodyText">
    <w:name w:val="Body Text"/>
    <w:basedOn w:val="Normal"/>
    <w:link w:val="BodyTextChar"/>
    <w:pPr>
      <w:spacing w:after="120"/>
    </w:pPr>
    <w:rPr>
      <w:szCs w:val="20"/>
    </w:rPr>
  </w:style>
  <w:style w:type="paragraph" w:styleId="FootnoteText">
    <w:name w:val="footnote text"/>
    <w:basedOn w:val="Normal"/>
    <w:link w:val="FootnoteTextChar"/>
    <w:uiPriority w:val="99"/>
    <w:rPr>
      <w:noProof/>
      <w:sz w:val="20"/>
      <w:szCs w:val="20"/>
    </w:rPr>
  </w:style>
  <w:style w:type="character" w:styleId="FootnoteReference">
    <w:name w:val="footnote reference"/>
    <w:uiPriority w:val="99"/>
    <w:semiHidden/>
    <w:rPr>
      <w:vertAlign w:val="superscript"/>
    </w:rPr>
  </w:style>
  <w:style w:type="paragraph" w:customStyle="1" w:styleId="NormlnIMP">
    <w:name w:val="Normální_IMP"/>
    <w:basedOn w:val="Normal"/>
    <w:pPr>
      <w:suppressAutoHyphens/>
      <w:overflowPunct w:val="0"/>
      <w:autoSpaceDE w:val="0"/>
      <w:autoSpaceDN w:val="0"/>
      <w:adjustRightInd w:val="0"/>
      <w:spacing w:line="230" w:lineRule="auto"/>
      <w:jc w:val="both"/>
      <w:textAlignment w:val="baseline"/>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3">
    <w:name w:val="Body Text Indent 3"/>
    <w:basedOn w:val="Normal"/>
    <w:pPr>
      <w:widowControl w:val="0"/>
      <w:tabs>
        <w:tab w:val="num" w:pos="540"/>
      </w:tabs>
      <w:ind w:left="540" w:hanging="540"/>
      <w:jc w:val="both"/>
    </w:pPr>
    <w:rPr>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8928E7"/>
    <w:rPr>
      <w:sz w:val="24"/>
    </w:rPr>
  </w:style>
  <w:style w:type="character" w:customStyle="1" w:styleId="FootnoteTextChar">
    <w:name w:val="Footnote Text Char"/>
    <w:link w:val="FootnoteText"/>
    <w:uiPriority w:val="99"/>
    <w:rsid w:val="005545D7"/>
    <w:rPr>
      <w:noProof/>
    </w:rPr>
  </w:style>
  <w:style w:type="paragraph" w:styleId="ListParagraph">
    <w:name w:val="List Paragraph"/>
    <w:basedOn w:val="Normal"/>
    <w:uiPriority w:val="34"/>
    <w:qFormat/>
    <w:rsid w:val="005545D7"/>
    <w:pPr>
      <w:ind w:left="720"/>
      <w:contextualSpacing/>
    </w:pPr>
  </w:style>
  <w:style w:type="paragraph" w:customStyle="1" w:styleId="Text">
    <w:name w:val="Text"/>
    <w:basedOn w:val="Normal"/>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Footer">
    <w:name w:val="footer"/>
    <w:basedOn w:val="Normal"/>
    <w:link w:val="FooterChar"/>
    <w:uiPriority w:val="99"/>
    <w:unhideWhenUsed/>
    <w:rsid w:val="006A4405"/>
    <w:pPr>
      <w:tabs>
        <w:tab w:val="center" w:pos="4536"/>
        <w:tab w:val="right" w:pos="9072"/>
      </w:tabs>
    </w:pPr>
  </w:style>
  <w:style w:type="character" w:customStyle="1" w:styleId="FooterChar">
    <w:name w:val="Footer Char"/>
    <w:basedOn w:val="DefaultParagraphFont"/>
    <w:link w:val="Footer"/>
    <w:uiPriority w:val="99"/>
    <w:rsid w:val="006A4405"/>
    <w:rPr>
      <w:sz w:val="24"/>
      <w:szCs w:val="24"/>
    </w:rPr>
  </w:style>
  <w:style w:type="paragraph" w:styleId="NormalWeb">
    <w:name w:val="Normal (Web)"/>
    <w:basedOn w:val="Normal"/>
    <w:uiPriority w:val="99"/>
    <w:semiHidden/>
    <w:unhideWhenUsed/>
    <w:rsid w:val="000B5A87"/>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qA+t5AWhHYE+b25KkC39jqQ6g==">CgMxLjAyCGguZ2pkZ3hzMgloLjMwajB6bGwyCWguMWZvYjl0ZTgAciExVlI5T2kxb0hyUlVGTC1XQ2lnemR6Yk1nSkFuTE4xWE0=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1924</Characters>
  <Application>Microsoft Office Word</Application>
  <DocSecurity>0</DocSecurity>
  <Lines>16</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 Petráček</cp:lastModifiedBy>
  <cp:revision>2</cp:revision>
  <dcterms:created xsi:type="dcterms:W3CDTF">2025-02-07T09:09:00Z</dcterms:created>
  <dcterms:modified xsi:type="dcterms:W3CDTF">2025-02-18T07:45:00Z</dcterms:modified>
</cp:coreProperties>
</file>