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10F6" w:rsidRDefault="00F610F6">
      <w:pPr>
        <w:pStyle w:val="Nadpis2"/>
        <w:keepNext w:val="0"/>
        <w:widowControl w:val="0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F610F6" w:rsidRDefault="00000000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Habrůvka</w:t>
      </w:r>
    </w:p>
    <w:p w:rsidR="00F610F6" w:rsidRDefault="00000000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Habrůvka</w:t>
      </w:r>
    </w:p>
    <w:p w:rsidR="00F610F6" w:rsidRDefault="00000000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Habrůvka </w:t>
      </w:r>
    </w:p>
    <w:p w:rsidR="00F610F6" w:rsidRDefault="00000000">
      <w:pPr>
        <w:widowControl w:val="0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užívání veřejného prostranství</w:t>
      </w:r>
    </w:p>
    <w:p w:rsidR="00F610F6" w:rsidRDefault="00F610F6">
      <w:pPr>
        <w:widowControl w:val="0"/>
        <w:spacing w:line="276" w:lineRule="auto"/>
        <w:jc w:val="center"/>
        <w:rPr>
          <w:rFonts w:ascii="Arial" w:hAnsi="Arial" w:cs="Arial"/>
          <w:b/>
        </w:rPr>
      </w:pPr>
    </w:p>
    <w:p w:rsidR="00F610F6" w:rsidRDefault="00000000">
      <w:pPr>
        <w:widowControl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Habrůvka se na svém zasedání dne 29.3.2023 usnesením </w:t>
      </w:r>
      <w:r>
        <w:rPr>
          <w:rFonts w:ascii="Arial" w:hAnsi="Arial" w:cs="Arial"/>
          <w:sz w:val="22"/>
          <w:szCs w:val="22"/>
        </w:rPr>
        <w:br/>
        <w:t xml:space="preserve">č. 2/2023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F610F6" w:rsidRDefault="00000000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1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Úvodní ustanovení</w:t>
      </w:r>
    </w:p>
    <w:p w:rsidR="00F610F6" w:rsidRDefault="00000000">
      <w:pPr>
        <w:widowControl w:val="0"/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Habrůvka touto vyhláškou zavádí místní poplatek za užívání veřejného </w:t>
      </w:r>
      <w:r>
        <w:rPr>
          <w:rFonts w:ascii="Arial" w:hAnsi="Arial" w:cs="Arial"/>
          <w:sz w:val="22"/>
          <w:szCs w:val="22"/>
        </w:rPr>
        <w:tab/>
        <w:t>prostranství (dále jen „poplatek“).</w:t>
      </w:r>
    </w:p>
    <w:p w:rsidR="00F610F6" w:rsidRDefault="00000000">
      <w:pPr>
        <w:widowControl w:val="0"/>
        <w:numPr>
          <w:ilvl w:val="0"/>
          <w:numId w:val="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(dále jen „správce poplatku“).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</w:p>
    <w:p w:rsidR="00F610F6" w:rsidRDefault="00000000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2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Předmět poplatku a poplatník</w:t>
      </w:r>
    </w:p>
    <w:p w:rsidR="00F610F6" w:rsidRDefault="00000000">
      <w:pPr>
        <w:widowControl w:val="0"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užívání veřejného prostranství se vybírá za zvláštní užívání veřejného </w:t>
      </w:r>
      <w:r>
        <w:rPr>
          <w:rFonts w:ascii="Arial" w:hAnsi="Arial" w:cs="Arial"/>
          <w:sz w:val="22"/>
          <w:szCs w:val="22"/>
        </w:rPr>
        <w:tab/>
        <w:t xml:space="preserve">prostranství, kterým se rozumí provádění výkopových prací, umístění dočasných </w:t>
      </w:r>
      <w:r>
        <w:rPr>
          <w:rFonts w:ascii="Arial" w:hAnsi="Arial" w:cs="Arial"/>
          <w:sz w:val="22"/>
          <w:szCs w:val="22"/>
        </w:rPr>
        <w:tab/>
        <w:t xml:space="preserve">staveb a zařízení sloužících pro poskytování prodeje a služeb, pro umístění </w:t>
      </w:r>
      <w:r>
        <w:rPr>
          <w:rFonts w:ascii="Arial" w:hAnsi="Arial" w:cs="Arial"/>
          <w:sz w:val="22"/>
          <w:szCs w:val="22"/>
        </w:rPr>
        <w:tab/>
        <w:t xml:space="preserve">stavebních nebo reklamních zařízení, zařízení cirkusů, lunaparků a jiných obdobných </w:t>
      </w:r>
      <w:r>
        <w:rPr>
          <w:rFonts w:ascii="Arial" w:hAnsi="Arial" w:cs="Arial"/>
          <w:sz w:val="22"/>
          <w:szCs w:val="22"/>
        </w:rPr>
        <w:tab/>
        <w:t xml:space="preserve">atrakcí, umístění skládek, vyhrazení trvalého parkovacího místa a užívání tohoto </w:t>
      </w:r>
      <w:r>
        <w:rPr>
          <w:rFonts w:ascii="Arial" w:hAnsi="Arial" w:cs="Arial"/>
          <w:sz w:val="22"/>
          <w:szCs w:val="22"/>
        </w:rPr>
        <w:tab/>
        <w:t xml:space="preserve">prostranství pro kulturní, sportovní a reklamní akce nebo potřeby tvorby filmových a </w:t>
      </w:r>
      <w:r>
        <w:rPr>
          <w:rFonts w:ascii="Arial" w:hAnsi="Arial" w:cs="Arial"/>
          <w:sz w:val="22"/>
          <w:szCs w:val="22"/>
        </w:rPr>
        <w:tab/>
        <w:t>televizních děl.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</w:p>
    <w:p w:rsidR="00F610F6" w:rsidRDefault="00000000">
      <w:pPr>
        <w:widowControl w:val="0"/>
        <w:numPr>
          <w:ilvl w:val="0"/>
          <w:numId w:val="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za užívání veřejného prostranství platí fyzické i právnické osoby, které </w:t>
      </w:r>
      <w:r>
        <w:rPr>
          <w:rFonts w:ascii="Arial" w:hAnsi="Arial" w:cs="Arial"/>
          <w:sz w:val="22"/>
          <w:szCs w:val="22"/>
        </w:rPr>
        <w:tab/>
        <w:t>užívají veřejné prostranství způsobem uvedeným v odstavci 1 (dále jen „poplatník“).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3"/>
      </w:r>
    </w:p>
    <w:p w:rsidR="00F610F6" w:rsidRDefault="00000000">
      <w:pPr>
        <w:pStyle w:val="slalnk"/>
        <w:keepNext w:val="0"/>
        <w:keepLines w:val="0"/>
        <w:widowControl w:val="0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szCs w:val="24"/>
        </w:rPr>
        <w:t xml:space="preserve">Čl. 3  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Veřejná prostranství </w:t>
      </w:r>
    </w:p>
    <w:p w:rsidR="00F610F6" w:rsidRDefault="00000000">
      <w:pPr>
        <w:widowControl w:val="0"/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Poplatek se platí za užívání veřejných prostranství, která jsou uvedena jmenovitě </w:t>
      </w:r>
      <w:r>
        <w:rPr>
          <w:rFonts w:ascii="Arial" w:hAnsi="Arial" w:cs="Arial"/>
          <w:sz w:val="22"/>
          <w:szCs w:val="22"/>
        </w:rPr>
        <w:tab/>
        <w:t>v příloze č. 1. Tato příloha tvoří nedílnou součást této vyhlášky.</w:t>
      </w:r>
    </w:p>
    <w:p w:rsidR="00F610F6" w:rsidRDefault="00F610F6">
      <w:pPr>
        <w:widowControl w:val="0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610F6" w:rsidRDefault="00F610F6">
      <w:pPr>
        <w:widowControl w:val="0"/>
        <w:spacing w:line="312" w:lineRule="auto"/>
        <w:jc w:val="both"/>
        <w:rPr>
          <w:rFonts w:ascii="Arial" w:hAnsi="Arial" w:cs="Arial"/>
        </w:rPr>
      </w:pPr>
    </w:p>
    <w:p w:rsidR="00F610F6" w:rsidRDefault="00000000">
      <w:pPr>
        <w:pStyle w:val="slalnk"/>
        <w:keepNext w:val="0"/>
        <w:keepLines w:val="0"/>
        <w:widowControl w:val="0"/>
      </w:pPr>
      <w:r>
        <w:rPr>
          <w:rFonts w:ascii="Arial" w:hAnsi="Arial" w:cs="Arial"/>
          <w:szCs w:val="24"/>
        </w:rPr>
        <w:t>Čl. 4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Ohlašovací povinnost</w:t>
      </w:r>
    </w:p>
    <w:p w:rsidR="00F610F6" w:rsidRDefault="00000000">
      <w:pPr>
        <w:widowControl w:val="0"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</w:t>
      </w:r>
      <w:r>
        <w:rPr>
          <w:rFonts w:ascii="Arial" w:hAnsi="Arial" w:cs="Arial"/>
          <w:sz w:val="22"/>
          <w:szCs w:val="22"/>
        </w:rPr>
        <w:tab/>
        <w:t xml:space="preserve">nejpozději 14 dní před zahájením užívání veřejného prostranství. V případě užívání </w:t>
      </w:r>
      <w:r>
        <w:rPr>
          <w:rFonts w:ascii="Arial" w:hAnsi="Arial" w:cs="Arial"/>
          <w:sz w:val="22"/>
          <w:szCs w:val="22"/>
        </w:rPr>
        <w:tab/>
        <w:t xml:space="preserve">veřejného prostranství po dobu kratší než 5 dní, je povinen splnit ohlašovací </w:t>
      </w:r>
      <w:r>
        <w:rPr>
          <w:rFonts w:ascii="Arial" w:hAnsi="Arial" w:cs="Arial"/>
          <w:sz w:val="22"/>
          <w:szCs w:val="22"/>
        </w:rPr>
        <w:tab/>
        <w:t xml:space="preserve">povinnost nejpozději v den zahájení užívání veřejného prostranství. Pokud tento den </w:t>
      </w:r>
      <w:r>
        <w:rPr>
          <w:rFonts w:ascii="Arial" w:hAnsi="Arial" w:cs="Arial"/>
          <w:sz w:val="22"/>
          <w:szCs w:val="22"/>
        </w:rPr>
        <w:tab/>
        <w:t xml:space="preserve">připadne na sobotu, neděli nebo státem uznaný svátek, je poplatník povinen splnit </w:t>
      </w:r>
      <w:r>
        <w:rPr>
          <w:rFonts w:ascii="Arial" w:hAnsi="Arial" w:cs="Arial"/>
          <w:sz w:val="22"/>
          <w:szCs w:val="22"/>
        </w:rPr>
        <w:tab/>
        <w:t>ohlašovací povinnost nejblíže následující pracovní den.</w:t>
      </w:r>
    </w:p>
    <w:p w:rsidR="00F610F6" w:rsidRDefault="00000000">
      <w:pPr>
        <w:widowControl w:val="0"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  <w:r>
        <w:rPr>
          <w:rStyle w:val="Ukotvenpoznmkypodarou"/>
          <w:rFonts w:ascii="Arial" w:hAnsi="Arial" w:cs="Arial"/>
          <w:sz w:val="22"/>
          <w:szCs w:val="22"/>
        </w:rPr>
        <w:footnoteReference w:id="4"/>
      </w:r>
    </w:p>
    <w:p w:rsidR="00F610F6" w:rsidRDefault="00000000">
      <w:pPr>
        <w:widowControl w:val="0"/>
        <w:numPr>
          <w:ilvl w:val="1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F610F6" w:rsidRDefault="00000000">
      <w:pPr>
        <w:widowControl w:val="0"/>
        <w:numPr>
          <w:ilvl w:val="1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F610F6" w:rsidRDefault="00000000">
      <w:pPr>
        <w:widowControl w:val="0"/>
        <w:numPr>
          <w:ilvl w:val="1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předpokládanou dobu, způsob, místo a výměru užívání veřejného prostranství, včetně skutečností zakládajících nárok na případnou úlevu nebo osvobození od poplatku.</w:t>
      </w:r>
    </w:p>
    <w:p w:rsidR="00F610F6" w:rsidRDefault="00000000">
      <w:pPr>
        <w:widowControl w:val="0"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</w:t>
      </w:r>
      <w:r>
        <w:rPr>
          <w:rFonts w:ascii="Arial" w:hAnsi="Arial" w:cs="Arial"/>
          <w:sz w:val="22"/>
          <w:szCs w:val="22"/>
        </w:rPr>
        <w:tab/>
        <w:t xml:space="preserve">jiného smluvního státu Dohody o Evropském hospodářském prostoru nebo Švýcarské </w:t>
      </w:r>
      <w:r>
        <w:rPr>
          <w:rFonts w:ascii="Arial" w:hAnsi="Arial" w:cs="Arial"/>
          <w:sz w:val="22"/>
          <w:szCs w:val="22"/>
        </w:rPr>
        <w:tab/>
        <w:t xml:space="preserve">konfederace, uvede kromě údajů požadovaných v odstavci 2 adresu svého </w:t>
      </w:r>
      <w:r>
        <w:rPr>
          <w:rFonts w:ascii="Arial" w:hAnsi="Arial" w:cs="Arial"/>
          <w:sz w:val="22"/>
          <w:szCs w:val="22"/>
        </w:rPr>
        <w:tab/>
        <w:t>zmocněnce v tuzemsku pro doručování.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5"/>
      </w:r>
    </w:p>
    <w:p w:rsidR="00F610F6" w:rsidRDefault="00000000">
      <w:pPr>
        <w:widowControl w:val="0"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</w:t>
      </w:r>
      <w:r>
        <w:rPr>
          <w:rFonts w:ascii="Arial" w:hAnsi="Arial" w:cs="Arial"/>
          <w:sz w:val="22"/>
          <w:szCs w:val="22"/>
        </w:rPr>
        <w:tab/>
        <w:t>oznámit do 15 dnů ode dne, kdy nastala.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6"/>
      </w:r>
    </w:p>
    <w:p w:rsidR="00F610F6" w:rsidRDefault="00000000">
      <w:pPr>
        <w:widowControl w:val="0"/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 ohlásit údaj podle odst. 2 nebo jeho změnu se nevztahuje na údaj, který </w:t>
      </w:r>
      <w:r>
        <w:rPr>
          <w:rFonts w:ascii="Arial" w:hAnsi="Arial" w:cs="Arial"/>
          <w:sz w:val="22"/>
          <w:szCs w:val="22"/>
        </w:rPr>
        <w:tab/>
        <w:t xml:space="preserve">může správce poplatku automatizovaným způsobem zjistit z rejstříků nebo evidencí, </w:t>
      </w:r>
      <w:r>
        <w:rPr>
          <w:rFonts w:ascii="Arial" w:hAnsi="Arial" w:cs="Arial"/>
          <w:sz w:val="22"/>
          <w:szCs w:val="22"/>
        </w:rPr>
        <w:tab/>
        <w:t xml:space="preserve">do nichž má zřízen automatizovaný přístup. Okruh těchto údajů zveřejní správce </w:t>
      </w:r>
      <w:r>
        <w:rPr>
          <w:rFonts w:ascii="Arial" w:hAnsi="Arial" w:cs="Arial"/>
          <w:sz w:val="22"/>
          <w:szCs w:val="22"/>
        </w:rPr>
        <w:tab/>
        <w:t>poplatku na své úřední desce.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7"/>
      </w:r>
    </w:p>
    <w:p w:rsidR="00F610F6" w:rsidRDefault="00F610F6">
      <w:pPr>
        <w:pStyle w:val="slalnk"/>
        <w:keepNext w:val="0"/>
        <w:keepLines w:val="0"/>
        <w:widowControl w:val="0"/>
        <w:jc w:val="left"/>
        <w:rPr>
          <w:rFonts w:ascii="Arial" w:hAnsi="Arial" w:cs="Arial"/>
          <w:szCs w:val="24"/>
        </w:rPr>
      </w:pP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000000">
      <w:pPr>
        <w:pStyle w:val="slalnk"/>
        <w:keepNext w:val="0"/>
        <w:keepLines w:val="0"/>
        <w:widowControl w:val="0"/>
      </w:pPr>
      <w:r>
        <w:rPr>
          <w:rFonts w:ascii="Arial" w:hAnsi="Arial" w:cs="Arial"/>
          <w:szCs w:val="24"/>
        </w:rPr>
        <w:t>Čl. 5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Sazba poplatku</w:t>
      </w:r>
    </w:p>
    <w:p w:rsidR="00F610F6" w:rsidRDefault="00000000">
      <w:pPr>
        <w:widowControl w:val="0"/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10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sloužících pro poskytování </w:t>
      </w:r>
      <w:proofErr w:type="gramStart"/>
      <w:r>
        <w:rPr>
          <w:rFonts w:ascii="Arial" w:hAnsi="Arial" w:cs="Arial"/>
          <w:sz w:val="22"/>
          <w:szCs w:val="22"/>
        </w:rPr>
        <w:t>prodeje….</w:t>
      </w:r>
      <w:proofErr w:type="gramEnd"/>
      <w:r>
        <w:rPr>
          <w:rFonts w:ascii="Arial" w:hAnsi="Arial" w:cs="Arial"/>
          <w:sz w:val="22"/>
          <w:szCs w:val="22"/>
        </w:rPr>
        <w:t>.……...10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prodeje</w:t>
      </w:r>
      <w:r>
        <w:rPr>
          <w:rFonts w:ascii="Arial" w:hAnsi="Arial" w:cs="Arial"/>
          <w:sz w:val="22"/>
          <w:szCs w:val="22"/>
        </w:rPr>
        <w:t>..............................  50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....................................................................  10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stavebních zařízení ...................................................................  10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 100 Kč</w:t>
      </w:r>
      <w:r>
        <w:rPr>
          <w:rFonts w:ascii="Arial" w:hAnsi="Arial" w:cs="Arial"/>
          <w:sz w:val="22"/>
          <w:szCs w:val="22"/>
        </w:rPr>
        <w:t>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lunaparků a jiných obdobných atrakcí</w:t>
      </w:r>
      <w:r>
        <w:rPr>
          <w:rFonts w:ascii="Arial" w:hAnsi="Arial" w:cs="Arial"/>
          <w:iCs/>
          <w:sz w:val="22"/>
          <w:szCs w:val="22"/>
        </w:rPr>
        <w:t xml:space="preserve"> ..........................10</w:t>
      </w:r>
      <w:r>
        <w:rPr>
          <w:rFonts w:ascii="Arial" w:hAnsi="Arial" w:cs="Arial"/>
          <w:iCs/>
          <w:sz w:val="22"/>
          <w:szCs w:val="22"/>
        </w:rPr>
        <w:tab/>
        <w:t>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..........................................................................10</w:t>
      </w:r>
      <w:r>
        <w:rPr>
          <w:rFonts w:ascii="Arial" w:hAnsi="Arial" w:cs="Arial"/>
          <w:sz w:val="22"/>
          <w:szCs w:val="22"/>
        </w:rPr>
        <w:tab/>
        <w:t>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.......................................................................................10</w:t>
      </w:r>
      <w:r>
        <w:rPr>
          <w:rFonts w:ascii="Arial" w:hAnsi="Arial" w:cs="Arial"/>
          <w:sz w:val="22"/>
          <w:szCs w:val="22"/>
        </w:rPr>
        <w:tab/>
        <w:t>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......................................................10</w:t>
      </w:r>
      <w:r>
        <w:rPr>
          <w:rFonts w:ascii="Arial" w:hAnsi="Arial" w:cs="Arial"/>
          <w:sz w:val="22"/>
          <w:szCs w:val="22"/>
        </w:rPr>
        <w:tab/>
        <w:t>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kulturní akce ....................................... 1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sportovní akce .................................... 1</w:t>
      </w:r>
      <w:r>
        <w:rPr>
          <w:rFonts w:ascii="Arial" w:hAnsi="Arial" w:cs="Arial"/>
          <w:sz w:val="22"/>
          <w:szCs w:val="22"/>
        </w:rPr>
        <w:tab/>
        <w:t>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reklamní akce ................................... 10 Kč,</w:t>
      </w:r>
    </w:p>
    <w:p w:rsidR="00F610F6" w:rsidRDefault="00000000">
      <w:pPr>
        <w:widowControl w:val="0"/>
        <w:numPr>
          <w:ilvl w:val="1"/>
          <w:numId w:val="4"/>
        </w:numPr>
        <w:tabs>
          <w:tab w:val="left" w:pos="8640"/>
        </w:tabs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děl...................................................................................................................10</w:t>
      </w:r>
      <w:r>
        <w:rPr>
          <w:rFonts w:ascii="Arial" w:hAnsi="Arial" w:cs="Arial"/>
          <w:sz w:val="22"/>
          <w:szCs w:val="22"/>
        </w:rPr>
        <w:tab/>
        <w:t>Kč.</w:t>
      </w:r>
    </w:p>
    <w:p w:rsidR="00F610F6" w:rsidRDefault="00F610F6">
      <w:pPr>
        <w:widowControl w:val="0"/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610F6" w:rsidRDefault="00000000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6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Splatnost poplatku </w:t>
      </w:r>
    </w:p>
    <w:p w:rsidR="00F610F6" w:rsidRDefault="00000000">
      <w:pPr>
        <w:pStyle w:val="Nzvylnk"/>
        <w:keepNext w:val="0"/>
        <w:keepLines w:val="0"/>
        <w:widowControl w:val="0"/>
        <w:numPr>
          <w:ilvl w:val="0"/>
          <w:numId w:val="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Poplatek je splatný ve lhůtě do 14 dnů ode dne zahájení užívání veřejného </w:t>
      </w:r>
      <w:r>
        <w:rPr>
          <w:rFonts w:ascii="Arial" w:hAnsi="Arial" w:cs="Arial"/>
          <w:b w:val="0"/>
          <w:bCs w:val="0"/>
          <w:sz w:val="22"/>
          <w:szCs w:val="22"/>
        </w:rPr>
        <w:tab/>
        <w:t>prostranství.</w:t>
      </w:r>
    </w:p>
    <w:p w:rsidR="00F610F6" w:rsidRDefault="00000000">
      <w:pPr>
        <w:widowControl w:val="0"/>
        <w:numPr>
          <w:ilvl w:val="0"/>
          <w:numId w:val="5"/>
        </w:numPr>
        <w:spacing w:before="120" w:line="312" w:lineRule="auto"/>
        <w:jc w:val="both"/>
      </w:pPr>
      <w:r>
        <w:rPr>
          <w:rFonts w:ascii="Arial" w:hAnsi="Arial" w:cs="Arial"/>
          <w:sz w:val="22"/>
          <w:szCs w:val="22"/>
        </w:rPr>
        <w:t xml:space="preserve">Připadne-li konec lhůty splatnosti na sobotu, neděli nebo státem uznaný svátek, je </w:t>
      </w:r>
      <w:r>
        <w:rPr>
          <w:rFonts w:ascii="Arial" w:hAnsi="Arial" w:cs="Arial"/>
          <w:sz w:val="22"/>
          <w:szCs w:val="22"/>
        </w:rPr>
        <w:tab/>
        <w:t xml:space="preserve">dnem, ve kterém je poplatník povinen svoji povinnost splnit, nejblíže následující </w:t>
      </w:r>
      <w:r>
        <w:rPr>
          <w:rFonts w:ascii="Arial" w:hAnsi="Arial" w:cs="Arial"/>
          <w:sz w:val="22"/>
          <w:szCs w:val="22"/>
        </w:rPr>
        <w:tab/>
        <w:t>pracovní den.</w:t>
      </w:r>
    </w:p>
    <w:p w:rsidR="00F610F6" w:rsidRDefault="00F610F6">
      <w:pPr>
        <w:widowControl w:val="0"/>
        <w:spacing w:before="360" w:line="312" w:lineRule="auto"/>
        <w:jc w:val="center"/>
        <w:rPr>
          <w:rFonts w:ascii="Arial" w:hAnsi="Arial" w:cs="Arial"/>
          <w:b/>
        </w:rPr>
      </w:pPr>
    </w:p>
    <w:p w:rsidR="00F610F6" w:rsidRDefault="00F610F6">
      <w:pPr>
        <w:widowControl w:val="0"/>
        <w:spacing w:before="360" w:line="312" w:lineRule="auto"/>
        <w:jc w:val="center"/>
        <w:rPr>
          <w:rFonts w:ascii="Arial" w:hAnsi="Arial" w:cs="Arial"/>
          <w:b/>
        </w:rPr>
      </w:pPr>
    </w:p>
    <w:p w:rsidR="00F610F6" w:rsidRDefault="00F610F6">
      <w:pPr>
        <w:widowControl w:val="0"/>
        <w:spacing w:before="360" w:line="312" w:lineRule="auto"/>
        <w:jc w:val="center"/>
        <w:rPr>
          <w:rFonts w:ascii="Arial" w:hAnsi="Arial" w:cs="Arial"/>
          <w:b/>
        </w:rPr>
      </w:pPr>
    </w:p>
    <w:p w:rsidR="00F610F6" w:rsidRDefault="00F610F6">
      <w:pPr>
        <w:widowControl w:val="0"/>
        <w:spacing w:before="360" w:line="312" w:lineRule="auto"/>
        <w:jc w:val="center"/>
        <w:rPr>
          <w:rFonts w:ascii="Arial" w:hAnsi="Arial" w:cs="Arial"/>
          <w:b/>
        </w:rPr>
      </w:pPr>
    </w:p>
    <w:p w:rsidR="00F610F6" w:rsidRDefault="00000000">
      <w:pPr>
        <w:widowControl w:val="0"/>
        <w:spacing w:before="360" w:line="312" w:lineRule="auto"/>
        <w:jc w:val="center"/>
      </w:pPr>
      <w:r>
        <w:rPr>
          <w:rFonts w:ascii="Arial" w:hAnsi="Arial" w:cs="Arial"/>
          <w:b/>
        </w:rPr>
        <w:t>Čl. 7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Osvobození </w:t>
      </w:r>
    </w:p>
    <w:p w:rsidR="00F610F6" w:rsidRDefault="00000000">
      <w:pPr>
        <w:widowControl w:val="0"/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F610F6" w:rsidRDefault="00000000">
      <w:pPr>
        <w:widowControl w:val="0"/>
        <w:spacing w:before="60"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 xml:space="preserve">a) za vyhrazení trvalého parkovacího místa pro osobu, která je držitelem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průkazu ZTP nebo ZTP/P,</w:t>
      </w:r>
    </w:p>
    <w:p w:rsidR="00F610F6" w:rsidRDefault="00000000">
      <w:pPr>
        <w:widowControl w:val="0"/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akcí pořádaných na veřejném prostranství, jejichž celý výtěžek je odveden na </w:t>
      </w:r>
      <w:r>
        <w:rPr>
          <w:rFonts w:ascii="Arial" w:hAnsi="Arial" w:cs="Arial"/>
          <w:sz w:val="22"/>
          <w:szCs w:val="22"/>
        </w:rPr>
        <w:tab/>
        <w:t xml:space="preserve"> charitativní a veřejně prospěšné účely</w:t>
      </w:r>
      <w:r>
        <w:rPr>
          <w:rStyle w:val="Ukotvenpoznmky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F610F6" w:rsidRDefault="00000000">
      <w:pPr>
        <w:widowControl w:val="0"/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F610F6" w:rsidRDefault="00000000">
      <w:pPr>
        <w:widowControl w:val="0"/>
        <w:numPr>
          <w:ilvl w:val="1"/>
          <w:numId w:val="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 společenské akce pořádané neziskovými organizacemi</w:t>
      </w:r>
    </w:p>
    <w:p w:rsidR="00F610F6" w:rsidRDefault="00000000">
      <w:pPr>
        <w:widowControl w:val="0"/>
        <w:numPr>
          <w:ilvl w:val="1"/>
          <w:numId w:val="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Zábory kratší jak 5 pracovních dnů</w:t>
      </w:r>
    </w:p>
    <w:p w:rsidR="00F610F6" w:rsidRDefault="00F610F6">
      <w:pPr>
        <w:widowControl w:val="0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F610F6" w:rsidRDefault="00000000">
      <w:pPr>
        <w:widowControl w:val="0"/>
        <w:numPr>
          <w:ilvl w:val="0"/>
          <w:numId w:val="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 rozhodný pro osvobození dle odst. 1 a 2 tohoto článku je poplatník povinen </w:t>
      </w:r>
      <w:r>
        <w:rPr>
          <w:rFonts w:ascii="Arial" w:hAnsi="Arial" w:cs="Arial"/>
          <w:sz w:val="22"/>
          <w:szCs w:val="22"/>
        </w:rPr>
        <w:tab/>
        <w:t>ohlásit nejpozději v den zahájení užívání veřejného prostranství.</w:t>
      </w:r>
    </w:p>
    <w:p w:rsidR="00F610F6" w:rsidRDefault="00F610F6">
      <w:pPr>
        <w:widowControl w:val="0"/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610F6" w:rsidRDefault="00000000">
      <w:pPr>
        <w:widowControl w:val="0"/>
        <w:numPr>
          <w:ilvl w:val="0"/>
          <w:numId w:val="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</w:t>
      </w:r>
      <w:r>
        <w:rPr>
          <w:rFonts w:ascii="Arial" w:hAnsi="Arial" w:cs="Arial"/>
          <w:sz w:val="22"/>
          <w:szCs w:val="22"/>
        </w:rPr>
        <w:tab/>
        <w:t>lhůtách stanovených touto vyhláškou nebo zákonem, nárok na osvobození zaniká.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9"/>
      </w:r>
    </w:p>
    <w:p w:rsidR="00F610F6" w:rsidRDefault="00F610F6">
      <w:pPr>
        <w:widowControl w:val="0"/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610F6" w:rsidRDefault="00000000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8</w:t>
      </w:r>
    </w:p>
    <w:p w:rsidR="00F610F6" w:rsidRDefault="00000000">
      <w:pPr>
        <w:pStyle w:val="Nzvylnk"/>
        <w:keepNext w:val="0"/>
        <w:keepLines w:val="0"/>
        <w:widowControl w:val="0"/>
        <w:rPr>
          <w:szCs w:val="24"/>
        </w:rPr>
      </w:pPr>
      <w:r>
        <w:rPr>
          <w:rFonts w:ascii="Arial" w:hAnsi="Arial" w:cs="Arial"/>
          <w:szCs w:val="24"/>
        </w:rPr>
        <w:t>Navýšení poplatku</w:t>
      </w:r>
      <w:r>
        <w:rPr>
          <w:szCs w:val="24"/>
        </w:rPr>
        <w:t xml:space="preserve"> </w:t>
      </w:r>
    </w:p>
    <w:p w:rsidR="00F610F6" w:rsidRDefault="00000000">
      <w:pPr>
        <w:widowControl w:val="0"/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>
        <w:rPr>
          <w:rFonts w:ascii="Arial" w:hAnsi="Arial" w:cs="Arial"/>
          <w:sz w:val="22"/>
          <w:szCs w:val="22"/>
        </w:rPr>
        <w:tab/>
        <w:t xml:space="preserve">správce poplatku poplatek platebním výměrem nebo hromadným předpisným </w:t>
      </w:r>
      <w:r>
        <w:rPr>
          <w:rFonts w:ascii="Arial" w:hAnsi="Arial" w:cs="Arial"/>
          <w:sz w:val="22"/>
          <w:szCs w:val="22"/>
        </w:rPr>
        <w:tab/>
        <w:t>seznamem.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0"/>
      </w:r>
    </w:p>
    <w:p w:rsidR="00F610F6" w:rsidRDefault="00000000">
      <w:pPr>
        <w:widowControl w:val="0"/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Včas nezaplacené poplatky nebo část těchto poplatků může správce poplatku zvýšit </w:t>
      </w:r>
      <w:r>
        <w:rPr>
          <w:rFonts w:ascii="Arial" w:hAnsi="Arial" w:cs="Arial"/>
          <w:sz w:val="22"/>
          <w:szCs w:val="22"/>
        </w:rPr>
        <w:tab/>
        <w:t>až na trojnásobek; toto zvýšení je příslušenstvím poplatku sledujícím jeho osud.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1"/>
      </w: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F610F6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</w:p>
    <w:p w:rsidR="00F610F6" w:rsidRDefault="00000000">
      <w:pPr>
        <w:pStyle w:val="sla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F610F6" w:rsidRDefault="00000000">
      <w:pPr>
        <w:pStyle w:val="Nzvylnk"/>
        <w:keepNext w:val="0"/>
        <w:keepLines w:val="0"/>
        <w:widowContro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:rsidR="00F610F6" w:rsidRDefault="00000000">
      <w:pPr>
        <w:widowControl w:val="0"/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F610F6" w:rsidRDefault="00F610F6">
      <w:pPr>
        <w:pStyle w:val="Zkladntext"/>
        <w:widowControl w:val="0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F610F6" w:rsidRDefault="00000000">
      <w:pPr>
        <w:pStyle w:val="Zkladntext"/>
        <w:widowControl w:val="0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:rsidR="00F610F6" w:rsidRDefault="00000000">
      <w:pPr>
        <w:pStyle w:val="Zkladntext"/>
        <w:widowControl w:val="0"/>
        <w:tabs>
          <w:tab w:val="left" w:pos="720"/>
          <w:tab w:val="left" w:pos="6120"/>
        </w:tabs>
        <w:spacing w:after="0" w:line="312" w:lineRule="auto"/>
      </w:pPr>
      <w:r>
        <w:rPr>
          <w:rFonts w:ascii="Arial" w:hAnsi="Arial" w:cs="Arial"/>
          <w:i/>
        </w:rPr>
        <w:tab/>
        <w:t xml:space="preserve">     </w:t>
      </w:r>
      <w:r>
        <w:rPr>
          <w:rFonts w:ascii="Arial" w:hAnsi="Arial" w:cs="Arial"/>
        </w:rPr>
        <w:t xml:space="preserve">Martin Šimek, v. r.                                          Ing. Zdeněk Cihlář </w:t>
      </w:r>
      <w:proofErr w:type="gramStart"/>
      <w:r>
        <w:rPr>
          <w:rFonts w:ascii="Arial" w:hAnsi="Arial" w:cs="Arial"/>
        </w:rPr>
        <w:t>Ph.D. ,</w:t>
      </w:r>
      <w:proofErr w:type="gramEnd"/>
      <w:r>
        <w:rPr>
          <w:rFonts w:ascii="Arial" w:hAnsi="Arial" w:cs="Arial"/>
        </w:rPr>
        <w:t xml:space="preserve"> v. r.</w:t>
      </w:r>
    </w:p>
    <w:p w:rsidR="00F610F6" w:rsidRDefault="00000000">
      <w:pPr>
        <w:pStyle w:val="Zkladntext"/>
        <w:widowControl w:val="0"/>
        <w:tabs>
          <w:tab w:val="left" w:pos="1080"/>
        </w:tabs>
        <w:spacing w:after="0" w:line="312" w:lineRule="auto"/>
      </w:pPr>
      <w:r>
        <w:rPr>
          <w:rFonts w:ascii="Arial" w:hAnsi="Arial" w:cs="Arial"/>
        </w:rPr>
        <w:tab/>
        <w:t>místostarosta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starosta</w:t>
      </w:r>
      <w:proofErr w:type="gramEnd"/>
      <w:r>
        <w:rPr>
          <w:rFonts w:ascii="Arial" w:hAnsi="Arial" w:cs="Arial"/>
        </w:rPr>
        <w:t xml:space="preserve"> obce</w:t>
      </w: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widowControl w:val="0"/>
        <w:tabs>
          <w:tab w:val="left" w:pos="1080"/>
          <w:tab w:val="left" w:pos="7020"/>
        </w:tabs>
        <w:spacing w:line="288" w:lineRule="auto"/>
      </w:pPr>
      <w:bookmarkStart w:id="0" w:name="_Hlk133489998"/>
      <w:bookmarkEnd w:id="0"/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:rsidR="00F610F6" w:rsidRDefault="00000000">
      <w:pPr>
        <w:pStyle w:val="Standard"/>
        <w:rPr>
          <w:rFonts w:ascii="Arial" w:hAnsi="Arial"/>
        </w:rPr>
      </w:pPr>
      <w:r>
        <w:rPr>
          <w:rFonts w:ascii="Arial" w:hAnsi="Arial"/>
          <w:b/>
        </w:rPr>
        <w:t xml:space="preserve">Příloha č. 1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Veřejné prostranství v k. </w:t>
      </w:r>
      <w:proofErr w:type="spellStart"/>
      <w:r>
        <w:rPr>
          <w:rFonts w:ascii="Arial" w:hAnsi="Arial"/>
          <w:b/>
        </w:rPr>
        <w:t>ú.</w:t>
      </w:r>
      <w:proofErr w:type="spellEnd"/>
      <w:r>
        <w:rPr>
          <w:rFonts w:ascii="Arial" w:hAnsi="Arial"/>
          <w:b/>
        </w:rPr>
        <w:t xml:space="preserve"> Habrůvka</w:t>
      </w:r>
    </w:p>
    <w:p w:rsidR="00F610F6" w:rsidRDefault="00F610F6">
      <w:pPr>
        <w:pStyle w:val="Standard"/>
      </w:pPr>
    </w:p>
    <w:p w:rsidR="00F610F6" w:rsidRDefault="00F610F6">
      <w:pPr>
        <w:pStyle w:val="Standard"/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3"/>
        <w:gridCol w:w="3213"/>
      </w:tblGrid>
      <w:tr w:rsidR="00F610F6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10F6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Parcela číslo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10F6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Parcela číslo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10F6" w:rsidRDefault="00000000">
            <w:pPr>
              <w:pStyle w:val="Standard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Parcela číslo</w:t>
            </w:r>
          </w:p>
        </w:tc>
      </w:tr>
      <w:tr w:rsidR="00F610F6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10F6" w:rsidRDefault="00000000">
            <w:pPr>
              <w:pStyle w:val="Obsahtabulky"/>
              <w:jc w:val="center"/>
            </w:pPr>
            <w:r>
              <w:t>5/1</w:t>
            </w:r>
          </w:p>
          <w:p w:rsidR="00F610F6" w:rsidRDefault="00000000">
            <w:pPr>
              <w:pStyle w:val="Obsahtabulky"/>
              <w:jc w:val="center"/>
            </w:pPr>
            <w:r>
              <w:t>6</w:t>
            </w:r>
          </w:p>
          <w:p w:rsidR="00F610F6" w:rsidRDefault="00000000">
            <w:pPr>
              <w:pStyle w:val="Obsahtabulky"/>
              <w:jc w:val="center"/>
            </w:pPr>
            <w:r>
              <w:t>7</w:t>
            </w:r>
          </w:p>
          <w:p w:rsidR="00F610F6" w:rsidRDefault="00000000">
            <w:pPr>
              <w:pStyle w:val="Obsahtabulky"/>
              <w:jc w:val="center"/>
            </w:pPr>
            <w:r>
              <w:t>8/1</w:t>
            </w:r>
          </w:p>
          <w:p w:rsidR="00F610F6" w:rsidRDefault="00000000">
            <w:pPr>
              <w:pStyle w:val="Obsahtabulky"/>
              <w:jc w:val="center"/>
            </w:pPr>
            <w:r>
              <w:t>8/2</w:t>
            </w:r>
          </w:p>
          <w:p w:rsidR="00F610F6" w:rsidRDefault="00000000">
            <w:pPr>
              <w:pStyle w:val="Obsahtabulky"/>
              <w:jc w:val="center"/>
            </w:pPr>
            <w:r>
              <w:t>9</w:t>
            </w:r>
          </w:p>
          <w:p w:rsidR="00F610F6" w:rsidRDefault="00000000">
            <w:pPr>
              <w:pStyle w:val="Obsahtabulky"/>
              <w:jc w:val="center"/>
            </w:pPr>
            <w:r>
              <w:t>33/1</w:t>
            </w:r>
          </w:p>
          <w:p w:rsidR="00F610F6" w:rsidRDefault="00000000">
            <w:pPr>
              <w:pStyle w:val="Obsahtabulky"/>
              <w:jc w:val="center"/>
            </w:pPr>
            <w:r>
              <w:t>33/2</w:t>
            </w:r>
          </w:p>
          <w:p w:rsidR="00F610F6" w:rsidRDefault="00000000">
            <w:pPr>
              <w:pStyle w:val="Obsahtabulky"/>
              <w:jc w:val="center"/>
            </w:pPr>
            <w:r>
              <w:t>80/2</w:t>
            </w:r>
          </w:p>
          <w:p w:rsidR="00F610F6" w:rsidRDefault="00000000">
            <w:pPr>
              <w:pStyle w:val="Obsahtabulky"/>
              <w:jc w:val="center"/>
            </w:pPr>
            <w:r>
              <w:t>81/1</w:t>
            </w:r>
          </w:p>
          <w:p w:rsidR="00F610F6" w:rsidRDefault="00000000">
            <w:pPr>
              <w:pStyle w:val="Obsahtabulky"/>
              <w:jc w:val="center"/>
            </w:pPr>
            <w:r>
              <w:t>85/1</w:t>
            </w:r>
          </w:p>
          <w:p w:rsidR="00F610F6" w:rsidRDefault="00000000">
            <w:pPr>
              <w:pStyle w:val="Obsahtabulky"/>
              <w:jc w:val="center"/>
            </w:pPr>
            <w:r>
              <w:t>86/2</w:t>
            </w:r>
          </w:p>
          <w:p w:rsidR="00F610F6" w:rsidRDefault="00000000">
            <w:pPr>
              <w:pStyle w:val="Obsahtabulky"/>
              <w:jc w:val="center"/>
            </w:pPr>
            <w:r>
              <w:t>87/2</w:t>
            </w:r>
          </w:p>
          <w:p w:rsidR="00F610F6" w:rsidRDefault="00000000">
            <w:pPr>
              <w:pStyle w:val="Obsahtabulky"/>
              <w:jc w:val="center"/>
            </w:pPr>
            <w:r>
              <w:t>124/2</w:t>
            </w:r>
          </w:p>
          <w:p w:rsidR="00F610F6" w:rsidRDefault="00000000">
            <w:pPr>
              <w:pStyle w:val="Obsahtabulky"/>
              <w:jc w:val="center"/>
            </w:pPr>
            <w:r>
              <w:t>148/2</w:t>
            </w:r>
          </w:p>
          <w:p w:rsidR="00F610F6" w:rsidRDefault="00000000">
            <w:pPr>
              <w:pStyle w:val="Obsahtabulky"/>
              <w:jc w:val="center"/>
            </w:pPr>
            <w:r>
              <w:t>152/2</w:t>
            </w:r>
          </w:p>
          <w:p w:rsidR="00F610F6" w:rsidRDefault="00000000">
            <w:pPr>
              <w:pStyle w:val="Obsahtabulky"/>
              <w:jc w:val="center"/>
            </w:pPr>
            <w:r>
              <w:t>169</w:t>
            </w:r>
          </w:p>
          <w:p w:rsidR="00F610F6" w:rsidRDefault="00000000">
            <w:pPr>
              <w:pStyle w:val="Obsahtabulky"/>
              <w:jc w:val="center"/>
            </w:pPr>
            <w:r>
              <w:t>183</w:t>
            </w:r>
          </w:p>
          <w:p w:rsidR="00F610F6" w:rsidRDefault="00000000">
            <w:pPr>
              <w:pStyle w:val="Obsahtabulky"/>
              <w:jc w:val="center"/>
            </w:pPr>
            <w:r>
              <w:t>194/2</w:t>
            </w:r>
          </w:p>
          <w:p w:rsidR="00F610F6" w:rsidRDefault="00000000">
            <w:pPr>
              <w:pStyle w:val="Obsahtabulky"/>
              <w:jc w:val="center"/>
            </w:pPr>
            <w:r>
              <w:t>213/1</w:t>
            </w:r>
          </w:p>
          <w:p w:rsidR="00F610F6" w:rsidRDefault="00000000">
            <w:pPr>
              <w:pStyle w:val="Obsahtabulky"/>
              <w:jc w:val="center"/>
            </w:pPr>
            <w:r>
              <w:t>213/2</w:t>
            </w:r>
          </w:p>
          <w:p w:rsidR="00F610F6" w:rsidRDefault="00000000">
            <w:pPr>
              <w:pStyle w:val="Obsahtabulky"/>
              <w:jc w:val="center"/>
            </w:pPr>
            <w:r>
              <w:t>242/1</w:t>
            </w:r>
          </w:p>
          <w:p w:rsidR="00F610F6" w:rsidRDefault="00000000">
            <w:pPr>
              <w:pStyle w:val="Obsahtabulky"/>
              <w:jc w:val="center"/>
            </w:pPr>
            <w:r>
              <w:t>242/6</w:t>
            </w:r>
          </w:p>
          <w:p w:rsidR="00F610F6" w:rsidRDefault="00000000">
            <w:pPr>
              <w:pStyle w:val="Obsahtabulky"/>
              <w:jc w:val="center"/>
            </w:pPr>
            <w:r>
              <w:t>243</w:t>
            </w:r>
          </w:p>
          <w:p w:rsidR="00F610F6" w:rsidRDefault="00000000">
            <w:pPr>
              <w:pStyle w:val="Obsahtabulky"/>
              <w:jc w:val="center"/>
            </w:pPr>
            <w:r>
              <w:t>244</w:t>
            </w:r>
          </w:p>
          <w:p w:rsidR="00F610F6" w:rsidRDefault="00000000">
            <w:pPr>
              <w:pStyle w:val="Obsahtabulky"/>
              <w:jc w:val="center"/>
            </w:pPr>
            <w:r>
              <w:t>245/1</w:t>
            </w:r>
          </w:p>
          <w:p w:rsidR="00F610F6" w:rsidRDefault="00000000">
            <w:pPr>
              <w:pStyle w:val="Obsahtabulky"/>
              <w:jc w:val="center"/>
            </w:pPr>
            <w:r>
              <w:t>245/2</w:t>
            </w:r>
          </w:p>
          <w:p w:rsidR="00F610F6" w:rsidRDefault="00000000">
            <w:pPr>
              <w:pStyle w:val="Obsahtabulky"/>
              <w:jc w:val="center"/>
            </w:pPr>
            <w:r>
              <w:t>246</w:t>
            </w:r>
          </w:p>
          <w:p w:rsidR="00F610F6" w:rsidRDefault="00000000">
            <w:pPr>
              <w:pStyle w:val="Obsahtabulky"/>
              <w:jc w:val="center"/>
            </w:pPr>
            <w:r>
              <w:t>247</w:t>
            </w:r>
          </w:p>
          <w:p w:rsidR="00F610F6" w:rsidRDefault="00000000">
            <w:pPr>
              <w:pStyle w:val="Obsahtabulky"/>
              <w:jc w:val="center"/>
            </w:pPr>
            <w:r>
              <w:t>248</w:t>
            </w:r>
          </w:p>
          <w:p w:rsidR="00F610F6" w:rsidRDefault="00000000">
            <w:pPr>
              <w:pStyle w:val="Obsahtabulky"/>
              <w:jc w:val="center"/>
            </w:pPr>
            <w:r>
              <w:t>249</w:t>
            </w:r>
          </w:p>
          <w:p w:rsidR="00F610F6" w:rsidRDefault="00000000">
            <w:pPr>
              <w:pStyle w:val="Obsahtabulky"/>
              <w:jc w:val="center"/>
            </w:pPr>
            <w:r>
              <w:t>250</w:t>
            </w:r>
          </w:p>
          <w:p w:rsidR="00F610F6" w:rsidRDefault="00000000">
            <w:pPr>
              <w:pStyle w:val="Obsahtabulky"/>
              <w:jc w:val="center"/>
            </w:pPr>
            <w:r>
              <w:t>251/2</w:t>
            </w:r>
          </w:p>
          <w:p w:rsidR="00F610F6" w:rsidRDefault="00000000">
            <w:pPr>
              <w:pStyle w:val="Obsahtabulky"/>
              <w:jc w:val="center"/>
            </w:pPr>
            <w:r>
              <w:t>253/2</w:t>
            </w:r>
          </w:p>
          <w:p w:rsidR="00F610F6" w:rsidRDefault="00000000">
            <w:pPr>
              <w:pStyle w:val="Obsahtabulky"/>
              <w:jc w:val="center"/>
            </w:pPr>
            <w:r>
              <w:t>253/9</w:t>
            </w:r>
          </w:p>
          <w:p w:rsidR="00F610F6" w:rsidRDefault="00000000">
            <w:pPr>
              <w:pStyle w:val="Obsahtabulky"/>
              <w:jc w:val="center"/>
            </w:pPr>
            <w:r>
              <w:t>253/10</w:t>
            </w:r>
          </w:p>
          <w:p w:rsidR="00F610F6" w:rsidRDefault="00000000">
            <w:pPr>
              <w:pStyle w:val="Obsahtabulky"/>
              <w:jc w:val="center"/>
            </w:pPr>
            <w:r>
              <w:t>253/14</w:t>
            </w:r>
          </w:p>
          <w:p w:rsidR="00F610F6" w:rsidRDefault="00000000">
            <w:pPr>
              <w:pStyle w:val="Obsahtabulky"/>
              <w:jc w:val="center"/>
            </w:pPr>
            <w:r>
              <w:t>266/1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610F6" w:rsidRDefault="00000000">
            <w:pPr>
              <w:pStyle w:val="Obsahtabulky"/>
              <w:jc w:val="center"/>
            </w:pPr>
            <w:r>
              <w:t>266/4</w:t>
            </w:r>
          </w:p>
          <w:p w:rsidR="00F610F6" w:rsidRDefault="00000000">
            <w:pPr>
              <w:pStyle w:val="Obsahtabulky"/>
              <w:jc w:val="center"/>
            </w:pPr>
            <w:r>
              <w:t>292/1</w:t>
            </w:r>
          </w:p>
          <w:p w:rsidR="00F610F6" w:rsidRDefault="00000000">
            <w:pPr>
              <w:pStyle w:val="Obsahtabulky"/>
              <w:jc w:val="center"/>
            </w:pPr>
            <w:r>
              <w:t>330/2</w:t>
            </w:r>
          </w:p>
          <w:p w:rsidR="00F610F6" w:rsidRDefault="00000000">
            <w:pPr>
              <w:pStyle w:val="Obsahtabulky"/>
              <w:jc w:val="center"/>
            </w:pPr>
            <w:r>
              <w:t>330/3</w:t>
            </w:r>
          </w:p>
          <w:p w:rsidR="00F610F6" w:rsidRDefault="00000000">
            <w:pPr>
              <w:pStyle w:val="Obsahtabulky"/>
              <w:jc w:val="center"/>
            </w:pPr>
            <w:r>
              <w:t>331/6</w:t>
            </w:r>
          </w:p>
          <w:p w:rsidR="00F610F6" w:rsidRDefault="00000000">
            <w:pPr>
              <w:pStyle w:val="Obsahtabulky"/>
              <w:jc w:val="center"/>
            </w:pPr>
            <w:r>
              <w:t>331/11</w:t>
            </w:r>
          </w:p>
          <w:p w:rsidR="00F610F6" w:rsidRDefault="00000000">
            <w:pPr>
              <w:pStyle w:val="Obsahtabulky"/>
              <w:jc w:val="center"/>
            </w:pPr>
            <w:r>
              <w:t>331/30</w:t>
            </w:r>
          </w:p>
          <w:p w:rsidR="00F610F6" w:rsidRDefault="00000000">
            <w:pPr>
              <w:pStyle w:val="Obsahtabulky"/>
              <w:jc w:val="center"/>
            </w:pPr>
            <w:r>
              <w:t>331/41</w:t>
            </w:r>
          </w:p>
          <w:p w:rsidR="00F610F6" w:rsidRDefault="00000000">
            <w:pPr>
              <w:pStyle w:val="Obsahtabulky"/>
              <w:jc w:val="center"/>
            </w:pPr>
            <w:r>
              <w:t>331/46</w:t>
            </w:r>
          </w:p>
          <w:p w:rsidR="00F610F6" w:rsidRDefault="00000000">
            <w:pPr>
              <w:pStyle w:val="Obsahtabulky"/>
              <w:jc w:val="center"/>
            </w:pPr>
            <w:r>
              <w:t>332/1</w:t>
            </w:r>
          </w:p>
          <w:p w:rsidR="00F610F6" w:rsidRDefault="00000000">
            <w:pPr>
              <w:pStyle w:val="Obsahtabulky"/>
              <w:jc w:val="center"/>
            </w:pPr>
            <w:r>
              <w:t>332/2</w:t>
            </w:r>
          </w:p>
          <w:p w:rsidR="00F610F6" w:rsidRDefault="00000000">
            <w:pPr>
              <w:pStyle w:val="Obsahtabulky"/>
              <w:jc w:val="center"/>
            </w:pPr>
            <w:r>
              <w:t>332/3</w:t>
            </w:r>
          </w:p>
          <w:p w:rsidR="00F610F6" w:rsidRDefault="00000000">
            <w:pPr>
              <w:pStyle w:val="Obsahtabulky"/>
              <w:jc w:val="center"/>
            </w:pPr>
            <w:r>
              <w:t>332/4</w:t>
            </w:r>
          </w:p>
          <w:p w:rsidR="00F610F6" w:rsidRDefault="00000000">
            <w:pPr>
              <w:pStyle w:val="Obsahtabulky"/>
              <w:jc w:val="center"/>
            </w:pPr>
            <w:r>
              <w:t>332/5</w:t>
            </w:r>
          </w:p>
          <w:p w:rsidR="00F610F6" w:rsidRDefault="00000000">
            <w:pPr>
              <w:pStyle w:val="Obsahtabulky"/>
              <w:jc w:val="center"/>
            </w:pPr>
            <w:r>
              <w:t>343/2</w:t>
            </w:r>
          </w:p>
          <w:p w:rsidR="00F610F6" w:rsidRDefault="00000000">
            <w:pPr>
              <w:pStyle w:val="Obsahtabulky"/>
              <w:jc w:val="center"/>
            </w:pPr>
            <w:r>
              <w:t>353/1</w:t>
            </w:r>
          </w:p>
          <w:p w:rsidR="00F610F6" w:rsidRDefault="00000000">
            <w:pPr>
              <w:pStyle w:val="Obsahtabulky"/>
              <w:jc w:val="center"/>
            </w:pPr>
            <w:r>
              <w:t>353/2</w:t>
            </w:r>
          </w:p>
          <w:p w:rsidR="00F610F6" w:rsidRDefault="00000000">
            <w:pPr>
              <w:pStyle w:val="Obsahtabulky"/>
              <w:jc w:val="center"/>
            </w:pPr>
            <w:r>
              <w:t>353/3</w:t>
            </w:r>
          </w:p>
          <w:p w:rsidR="00F610F6" w:rsidRDefault="00000000">
            <w:pPr>
              <w:pStyle w:val="Obsahtabulky"/>
              <w:jc w:val="center"/>
            </w:pPr>
            <w:r>
              <w:t>354/2</w:t>
            </w:r>
          </w:p>
          <w:p w:rsidR="00F610F6" w:rsidRDefault="00000000">
            <w:pPr>
              <w:pStyle w:val="Obsahtabulky"/>
              <w:jc w:val="center"/>
            </w:pPr>
            <w:r>
              <w:t>354/3</w:t>
            </w:r>
          </w:p>
          <w:p w:rsidR="00F610F6" w:rsidRDefault="00000000">
            <w:pPr>
              <w:pStyle w:val="Obsahtabulky"/>
              <w:jc w:val="center"/>
            </w:pPr>
            <w:r>
              <w:t>355/3</w:t>
            </w:r>
          </w:p>
          <w:p w:rsidR="00F610F6" w:rsidRDefault="00000000">
            <w:pPr>
              <w:pStyle w:val="Obsahtabulky"/>
              <w:jc w:val="center"/>
            </w:pPr>
            <w:r>
              <w:t>356/16</w:t>
            </w:r>
          </w:p>
          <w:p w:rsidR="00F610F6" w:rsidRDefault="00000000">
            <w:pPr>
              <w:pStyle w:val="Obsahtabulky"/>
              <w:jc w:val="center"/>
            </w:pPr>
            <w:r>
              <w:t>356/30</w:t>
            </w:r>
          </w:p>
          <w:p w:rsidR="00F610F6" w:rsidRDefault="00000000">
            <w:pPr>
              <w:pStyle w:val="Obsahtabulky"/>
              <w:jc w:val="center"/>
            </w:pPr>
            <w:r>
              <w:t>356/31</w:t>
            </w:r>
          </w:p>
          <w:p w:rsidR="00F610F6" w:rsidRDefault="00000000">
            <w:pPr>
              <w:pStyle w:val="Obsahtabulky"/>
              <w:jc w:val="center"/>
            </w:pPr>
            <w:r>
              <w:t>356/38</w:t>
            </w:r>
          </w:p>
          <w:p w:rsidR="00F610F6" w:rsidRDefault="00000000">
            <w:pPr>
              <w:pStyle w:val="Obsahtabulky"/>
              <w:jc w:val="center"/>
            </w:pPr>
            <w:r>
              <w:t>356/43</w:t>
            </w:r>
          </w:p>
          <w:p w:rsidR="00F610F6" w:rsidRDefault="00000000">
            <w:pPr>
              <w:pStyle w:val="Obsahtabulky"/>
              <w:jc w:val="center"/>
            </w:pPr>
            <w:r>
              <w:t>356/83</w:t>
            </w:r>
          </w:p>
          <w:p w:rsidR="00F610F6" w:rsidRDefault="00000000">
            <w:pPr>
              <w:pStyle w:val="Obsahtabulky"/>
              <w:jc w:val="center"/>
            </w:pPr>
            <w:r>
              <w:t>356/93</w:t>
            </w:r>
          </w:p>
          <w:p w:rsidR="00F610F6" w:rsidRDefault="00000000">
            <w:pPr>
              <w:pStyle w:val="Obsahtabulky"/>
              <w:jc w:val="center"/>
            </w:pPr>
            <w:r>
              <w:t>356/94</w:t>
            </w:r>
          </w:p>
          <w:p w:rsidR="00F610F6" w:rsidRDefault="00000000">
            <w:pPr>
              <w:pStyle w:val="Obsahtabulky"/>
              <w:jc w:val="center"/>
            </w:pPr>
            <w:r>
              <w:t>356/110</w:t>
            </w:r>
          </w:p>
          <w:p w:rsidR="00F610F6" w:rsidRDefault="00000000">
            <w:pPr>
              <w:pStyle w:val="Obsahtabulky"/>
              <w:jc w:val="center"/>
            </w:pPr>
            <w:r>
              <w:t>356/111</w:t>
            </w:r>
          </w:p>
          <w:p w:rsidR="00F610F6" w:rsidRDefault="00000000">
            <w:pPr>
              <w:pStyle w:val="Obsahtabulky"/>
              <w:jc w:val="center"/>
            </w:pPr>
            <w:r>
              <w:t>356/112</w:t>
            </w:r>
          </w:p>
          <w:p w:rsidR="00F610F6" w:rsidRDefault="00000000">
            <w:pPr>
              <w:pStyle w:val="Obsahtabulky"/>
              <w:jc w:val="center"/>
            </w:pPr>
            <w:r>
              <w:t>356/123</w:t>
            </w:r>
          </w:p>
          <w:p w:rsidR="00F610F6" w:rsidRDefault="00000000">
            <w:pPr>
              <w:pStyle w:val="Obsahtabulky"/>
              <w:jc w:val="center"/>
            </w:pPr>
            <w:r>
              <w:t>356/124</w:t>
            </w:r>
          </w:p>
          <w:p w:rsidR="00F610F6" w:rsidRDefault="00000000">
            <w:pPr>
              <w:pStyle w:val="Obsahtabulky"/>
              <w:jc w:val="center"/>
            </w:pPr>
            <w:r>
              <w:t>376/1</w:t>
            </w:r>
          </w:p>
          <w:p w:rsidR="00F610F6" w:rsidRDefault="00000000">
            <w:pPr>
              <w:pStyle w:val="Obsahtabulky"/>
              <w:jc w:val="center"/>
            </w:pPr>
            <w:r>
              <w:t>377/21</w:t>
            </w:r>
          </w:p>
          <w:p w:rsidR="00F610F6" w:rsidRDefault="00000000">
            <w:pPr>
              <w:pStyle w:val="Obsahtabulky"/>
              <w:jc w:val="center"/>
            </w:pPr>
            <w:r>
              <w:t>377/37</w:t>
            </w:r>
          </w:p>
          <w:p w:rsidR="00F610F6" w:rsidRDefault="00000000">
            <w:pPr>
              <w:pStyle w:val="Obsahtabulky"/>
              <w:jc w:val="center"/>
            </w:pPr>
            <w:r>
              <w:t>387</w:t>
            </w: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610F6" w:rsidRDefault="00000000">
            <w:pPr>
              <w:pStyle w:val="Obsahtabulky"/>
              <w:jc w:val="center"/>
            </w:pPr>
            <w:r>
              <w:t>399/2</w:t>
            </w:r>
          </w:p>
          <w:p w:rsidR="00F610F6" w:rsidRDefault="00000000">
            <w:pPr>
              <w:pStyle w:val="Obsahtabulky"/>
              <w:jc w:val="center"/>
            </w:pPr>
            <w:r>
              <w:t>406/1</w:t>
            </w:r>
          </w:p>
          <w:p w:rsidR="00F610F6" w:rsidRDefault="00000000">
            <w:pPr>
              <w:pStyle w:val="Obsahtabulky"/>
              <w:jc w:val="center"/>
            </w:pPr>
            <w:r>
              <w:t>406/3</w:t>
            </w:r>
          </w:p>
          <w:p w:rsidR="00F610F6" w:rsidRDefault="00000000">
            <w:pPr>
              <w:pStyle w:val="Obsahtabulky"/>
              <w:jc w:val="center"/>
            </w:pPr>
            <w:r>
              <w:t>406/12</w:t>
            </w:r>
          </w:p>
          <w:p w:rsidR="00F610F6" w:rsidRDefault="00000000">
            <w:pPr>
              <w:pStyle w:val="Obsahtabulky"/>
              <w:jc w:val="center"/>
            </w:pPr>
            <w:r>
              <w:t>406/33</w:t>
            </w:r>
          </w:p>
          <w:p w:rsidR="00F610F6" w:rsidRDefault="00000000">
            <w:pPr>
              <w:pStyle w:val="Obsahtabulky"/>
              <w:jc w:val="center"/>
            </w:pPr>
            <w:r>
              <w:t>406/52</w:t>
            </w:r>
          </w:p>
          <w:p w:rsidR="00F610F6" w:rsidRDefault="00000000">
            <w:pPr>
              <w:pStyle w:val="Obsahtabulky"/>
              <w:jc w:val="center"/>
            </w:pPr>
            <w:r>
              <w:t>409</w:t>
            </w:r>
          </w:p>
          <w:p w:rsidR="00F610F6" w:rsidRDefault="00000000">
            <w:pPr>
              <w:pStyle w:val="Obsahtabulky"/>
              <w:jc w:val="center"/>
            </w:pPr>
            <w:r>
              <w:t>410</w:t>
            </w:r>
          </w:p>
          <w:p w:rsidR="00F610F6" w:rsidRDefault="00000000">
            <w:pPr>
              <w:pStyle w:val="Obsahtabulky"/>
              <w:jc w:val="center"/>
            </w:pPr>
            <w:r>
              <w:t>413/1</w:t>
            </w:r>
          </w:p>
          <w:p w:rsidR="00F610F6" w:rsidRDefault="00000000">
            <w:pPr>
              <w:pStyle w:val="Obsahtabulky"/>
              <w:jc w:val="center"/>
            </w:pPr>
            <w:r>
              <w:t>413/2</w:t>
            </w:r>
          </w:p>
          <w:p w:rsidR="00F610F6" w:rsidRDefault="00000000">
            <w:pPr>
              <w:pStyle w:val="Obsahtabulky"/>
              <w:jc w:val="center"/>
            </w:pPr>
            <w:r>
              <w:t>414</w:t>
            </w:r>
          </w:p>
          <w:p w:rsidR="00F610F6" w:rsidRDefault="00000000">
            <w:pPr>
              <w:pStyle w:val="Obsahtabulky"/>
              <w:jc w:val="center"/>
            </w:pPr>
            <w:r>
              <w:t>415</w:t>
            </w:r>
          </w:p>
          <w:p w:rsidR="00F610F6" w:rsidRDefault="00000000">
            <w:pPr>
              <w:pStyle w:val="Obsahtabulky"/>
              <w:jc w:val="center"/>
            </w:pPr>
            <w:r>
              <w:t>416</w:t>
            </w:r>
          </w:p>
          <w:p w:rsidR="00F610F6" w:rsidRDefault="00000000">
            <w:pPr>
              <w:pStyle w:val="Obsahtabulky"/>
              <w:jc w:val="center"/>
            </w:pPr>
            <w:r>
              <w:t>417</w:t>
            </w:r>
          </w:p>
          <w:p w:rsidR="00F610F6" w:rsidRDefault="00000000">
            <w:pPr>
              <w:pStyle w:val="Obsahtabulky"/>
              <w:jc w:val="center"/>
            </w:pPr>
            <w:r>
              <w:t>433/6</w:t>
            </w:r>
          </w:p>
          <w:p w:rsidR="00F610F6" w:rsidRDefault="00000000">
            <w:pPr>
              <w:pStyle w:val="Obsahtabulky"/>
              <w:jc w:val="center"/>
            </w:pPr>
            <w:r>
              <w:t>435/1</w:t>
            </w:r>
          </w:p>
          <w:p w:rsidR="00F610F6" w:rsidRDefault="00000000">
            <w:pPr>
              <w:pStyle w:val="Obsahtabulky"/>
              <w:jc w:val="center"/>
            </w:pPr>
            <w:r>
              <w:t>435/2</w:t>
            </w:r>
          </w:p>
          <w:p w:rsidR="00F610F6" w:rsidRDefault="00000000">
            <w:pPr>
              <w:pStyle w:val="Obsahtabulky"/>
              <w:jc w:val="center"/>
            </w:pPr>
            <w:r>
              <w:t>436/1</w:t>
            </w:r>
          </w:p>
          <w:p w:rsidR="00F610F6" w:rsidRDefault="00000000">
            <w:pPr>
              <w:pStyle w:val="Obsahtabulky"/>
              <w:jc w:val="center"/>
            </w:pPr>
            <w:r>
              <w:t>453</w:t>
            </w:r>
          </w:p>
          <w:p w:rsidR="00F610F6" w:rsidRDefault="00000000">
            <w:pPr>
              <w:pStyle w:val="Obsahtabulky"/>
              <w:jc w:val="center"/>
            </w:pPr>
            <w:r>
              <w:t>488/4</w:t>
            </w:r>
          </w:p>
          <w:p w:rsidR="00F610F6" w:rsidRDefault="00000000">
            <w:pPr>
              <w:pStyle w:val="Obsahtabulky"/>
              <w:jc w:val="center"/>
            </w:pPr>
            <w:r>
              <w:t>488/5</w:t>
            </w:r>
          </w:p>
        </w:tc>
      </w:tr>
    </w:tbl>
    <w:p w:rsidR="00F610F6" w:rsidRDefault="00F610F6">
      <w:pPr>
        <w:pStyle w:val="Standard"/>
      </w:pPr>
    </w:p>
    <w:p w:rsidR="00F610F6" w:rsidRDefault="00F610F6">
      <w:pPr>
        <w:pStyle w:val="Zkladntext"/>
        <w:widowControl w:val="0"/>
        <w:tabs>
          <w:tab w:val="left" w:pos="1080"/>
          <w:tab w:val="left" w:pos="7020"/>
        </w:tabs>
        <w:spacing w:line="312" w:lineRule="auto"/>
      </w:pPr>
    </w:p>
    <w:sectPr w:rsidR="00F610F6">
      <w:footerReference w:type="default" r:id="rId8"/>
      <w:pgSz w:w="11906" w:h="16838"/>
      <w:pgMar w:top="1417" w:right="1417" w:bottom="1976" w:left="1417" w:header="0" w:footer="141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6A56" w:rsidRDefault="00EB6A56">
      <w:r>
        <w:separator/>
      </w:r>
    </w:p>
  </w:endnote>
  <w:endnote w:type="continuationSeparator" w:id="0">
    <w:p w:rsidR="00EB6A56" w:rsidRDefault="00EB6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10F6" w:rsidRDefault="00000000">
    <w:pPr>
      <w:pStyle w:val="Zpat"/>
    </w:pPr>
    <w:r>
      <w:tab/>
    </w:r>
    <w:r>
      <w:tab/>
      <w:t xml:space="preserve">Strana  </w:t>
    </w: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6A56" w:rsidRDefault="00EB6A56">
      <w:r>
        <w:separator/>
      </w:r>
    </w:p>
  </w:footnote>
  <w:footnote w:type="continuationSeparator" w:id="0">
    <w:p w:rsidR="00EB6A56" w:rsidRDefault="00EB6A56">
      <w:r>
        <w:continuationSeparator/>
      </w:r>
    </w:p>
  </w:footnote>
  <w:footnote w:id="1">
    <w:p w:rsidR="00F610F6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15 odst. 1 zákona o místních poplatcích</w:t>
      </w:r>
    </w:p>
  </w:footnote>
  <w:footnote w:id="2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4 odst. 1 zákona o místních poplatcích</w:t>
      </w:r>
    </w:p>
  </w:footnote>
  <w:footnote w:id="3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4 odst. 2 zákona o místních poplatcích</w:t>
      </w:r>
    </w:p>
  </w:footnote>
  <w:footnote w:id="4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2 zákona o místních poplatcích</w:t>
      </w:r>
    </w:p>
  </w:footnote>
  <w:footnote w:id="5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3 zákona o místních poplatcích</w:t>
      </w:r>
    </w:p>
  </w:footnote>
  <w:footnote w:id="6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4 zákona o místních poplatcích</w:t>
      </w:r>
    </w:p>
  </w:footnote>
  <w:footnote w:id="7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rFonts w:ascii="Arial" w:hAnsi="Arial" w:cs="Arial"/>
        </w:rPr>
        <w:t>§ 4 odst. 1 zákona o místních poplatcích</w:t>
      </w:r>
    </w:p>
  </w:footnote>
  <w:footnote w:id="9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14a odst. 6 zákona o místních poplatcích</w:t>
      </w:r>
    </w:p>
  </w:footnote>
  <w:footnote w:id="10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11 odst. 1 zákona o místních poplatcích</w:t>
      </w:r>
    </w:p>
  </w:footnote>
  <w:footnote w:id="11">
    <w:p w:rsidR="00F610F6" w:rsidRDefault="00000000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6EE8"/>
    <w:multiLevelType w:val="multilevel"/>
    <w:tmpl w:val="2146BE56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196D5C"/>
    <w:multiLevelType w:val="multilevel"/>
    <w:tmpl w:val="6C28D2A6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694601"/>
    <w:multiLevelType w:val="multilevel"/>
    <w:tmpl w:val="890E53EC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2A0F4D"/>
    <w:multiLevelType w:val="multilevel"/>
    <w:tmpl w:val="6CFA09D4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9136FFC"/>
    <w:multiLevelType w:val="multilevel"/>
    <w:tmpl w:val="AC605D94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B5B71F6"/>
    <w:multiLevelType w:val="multilevel"/>
    <w:tmpl w:val="521C5FE4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1F46E25"/>
    <w:multiLevelType w:val="multilevel"/>
    <w:tmpl w:val="C77A20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7FD44869"/>
    <w:multiLevelType w:val="multilevel"/>
    <w:tmpl w:val="47446036"/>
    <w:lvl w:ilvl="0">
      <w:start w:val="1"/>
      <w:numFmt w:val="decimal"/>
      <w:lvlText w:val="(%1)"/>
      <w:lvlJc w:val="left"/>
      <w:pPr>
        <w:ind w:left="0" w:firstLine="0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6470763">
    <w:abstractNumId w:val="5"/>
  </w:num>
  <w:num w:numId="2" w16cid:durableId="678822944">
    <w:abstractNumId w:val="0"/>
  </w:num>
  <w:num w:numId="3" w16cid:durableId="2070103668">
    <w:abstractNumId w:val="7"/>
  </w:num>
  <w:num w:numId="4" w16cid:durableId="1779596507">
    <w:abstractNumId w:val="1"/>
  </w:num>
  <w:num w:numId="5" w16cid:durableId="94136780">
    <w:abstractNumId w:val="3"/>
  </w:num>
  <w:num w:numId="6" w16cid:durableId="1448499590">
    <w:abstractNumId w:val="2"/>
  </w:num>
  <w:num w:numId="7" w16cid:durableId="433937867">
    <w:abstractNumId w:val="4"/>
  </w:num>
  <w:num w:numId="8" w16cid:durableId="166094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F6"/>
    <w:rsid w:val="006A40AD"/>
    <w:rsid w:val="00EB6A56"/>
    <w:rsid w:val="00F6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8099F-9784-4214-AA4E-39401DB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qFormat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qFormat/>
    <w:rsid w:val="0032333A"/>
    <w:rPr>
      <w:rFonts w:ascii="Calibri" w:hAnsi="Calibri" w:cs="Calibri"/>
      <w:b/>
      <w:bCs/>
      <w:sz w:val="22"/>
      <w:szCs w:val="22"/>
    </w:rPr>
  </w:style>
  <w:style w:type="character" w:customStyle="1" w:styleId="ZkladntextodsazenChar">
    <w:name w:val="Základní text odsazený Char"/>
    <w:link w:val="Zkladntextodsazen"/>
    <w:uiPriority w:val="99"/>
    <w:semiHidden/>
    <w:qFormat/>
    <w:rsid w:val="001B2023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qFormat/>
    <w:rsid w:val="001B2023"/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qFormat/>
    <w:rsid w:val="001B2023"/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qFormat/>
    <w:rsid w:val="001B2023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qFormat/>
    <w:rsid w:val="001B2023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semiHidden/>
    <w:qFormat/>
    <w:rsid w:val="00A7253D"/>
    <w:rPr>
      <w:vertAlign w:val="superscript"/>
    </w:rPr>
  </w:style>
  <w:style w:type="character" w:styleId="Odkaznakoment">
    <w:name w:val="annotation reference"/>
    <w:uiPriority w:val="99"/>
    <w:semiHidden/>
    <w:qFormat/>
    <w:rsid w:val="00A7253D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qFormat/>
    <w:rsid w:val="001B2023"/>
    <w:rPr>
      <w:sz w:val="20"/>
      <w:szCs w:val="20"/>
    </w:rPr>
  </w:style>
  <w:style w:type="character" w:customStyle="1" w:styleId="Zkladntextodsazen3Char">
    <w:name w:val="Základní text odsazený 3 Char"/>
    <w:link w:val="Zkladntextodsazen3"/>
    <w:uiPriority w:val="99"/>
    <w:semiHidden/>
    <w:qFormat/>
    <w:rsid w:val="001B2023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qFormat/>
    <w:rsid w:val="001B2023"/>
    <w:rPr>
      <w:sz w:val="2"/>
      <w:szCs w:val="2"/>
    </w:rPr>
  </w:style>
  <w:style w:type="character" w:customStyle="1" w:styleId="Zkladntext3Char">
    <w:name w:val="Základní text 3 Char"/>
    <w:link w:val="Zkladntext3"/>
    <w:uiPriority w:val="99"/>
    <w:semiHidden/>
    <w:qFormat/>
    <w:rsid w:val="0032333A"/>
    <w:rPr>
      <w:sz w:val="16"/>
      <w:szCs w:val="16"/>
    </w:rPr>
  </w:style>
  <w:style w:type="character" w:customStyle="1" w:styleId="Zkladntext2Char">
    <w:name w:val="Základní text 2 Char"/>
    <w:link w:val="Zkladntext2"/>
    <w:uiPriority w:val="99"/>
    <w:semiHidden/>
    <w:qFormat/>
    <w:rsid w:val="0032333A"/>
    <w:rPr>
      <w:sz w:val="24"/>
      <w:szCs w:val="24"/>
    </w:rPr>
  </w:style>
  <w:style w:type="character" w:customStyle="1" w:styleId="NzevChar">
    <w:name w:val="Název Char"/>
    <w:link w:val="Nzev"/>
    <w:uiPriority w:val="99"/>
    <w:qFormat/>
    <w:rsid w:val="0032333A"/>
    <w:rPr>
      <w:rFonts w:ascii="Cambria" w:hAnsi="Cambria" w:cs="Cambria"/>
      <w:b/>
      <w:bCs/>
      <w:kern w:val="2"/>
      <w:sz w:val="32"/>
      <w:szCs w:val="32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903F0"/>
    <w:rPr>
      <w:sz w:val="24"/>
      <w:szCs w:val="24"/>
    </w:rPr>
  </w:style>
  <w:style w:type="character" w:customStyle="1" w:styleId="ListLabel1">
    <w:name w:val="ListLabel 1"/>
    <w:qFormat/>
    <w:rPr>
      <w:b w:val="0"/>
      <w:bCs w:val="0"/>
      <w:u w:val="none"/>
    </w:rPr>
  </w:style>
  <w:style w:type="character" w:customStyle="1" w:styleId="ListLabel2">
    <w:name w:val="ListLabel 2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3">
    <w:name w:val="ListLabel 3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4">
    <w:name w:val="ListLabel 4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5">
    <w:name w:val="ListLabel 5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6">
    <w:name w:val="ListLabel 6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7">
    <w:name w:val="ListLabel 7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8">
    <w:name w:val="ListLabel 8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9">
    <w:name w:val="ListLabel 9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0">
    <w:name w:val="ListLabel 1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ListLabel11">
    <w:name w:val="ListLabel 11"/>
    <w:qFormat/>
    <w:rPr>
      <w:rFonts w:ascii="Arial" w:hAnsi="Arial"/>
      <w:b w:val="0"/>
      <w:i w:val="0"/>
      <w:strike w:val="0"/>
      <w:dstrike w:val="0"/>
      <w:position w:val="0"/>
      <w:sz w:val="22"/>
      <w:vertAlign w:val="baseline"/>
    </w:rPr>
  </w:style>
  <w:style w:type="character" w:customStyle="1" w:styleId="ListLabel12">
    <w:name w:val="ListLabel 12"/>
    <w:qFormat/>
    <w:rPr>
      <w:b w:val="0"/>
      <w:i w:val="0"/>
      <w:strike w:val="0"/>
      <w:dstrike w:val="0"/>
      <w:color w:val="000000"/>
      <w:position w:val="0"/>
      <w:sz w:val="24"/>
      <w:u w:val="none"/>
      <w:effect w:val="none"/>
      <w:vertAlign w:val="baseline"/>
    </w:rPr>
  </w:style>
  <w:style w:type="character" w:customStyle="1" w:styleId="ListLabel13">
    <w:name w:val="ListLabel 13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paragraph" w:styleId="Zkladntextodsazen2">
    <w:name w:val="Body Text Indent 2"/>
    <w:basedOn w:val="Normln"/>
    <w:link w:val="Zkladntextodsazen2Char"/>
    <w:uiPriority w:val="99"/>
    <w:qFormat/>
    <w:rsid w:val="00A7253D"/>
    <w:pPr>
      <w:ind w:left="708" w:firstLine="360"/>
      <w:jc w:val="both"/>
    </w:p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</w:rPr>
  </w:style>
  <w:style w:type="paragraph" w:customStyle="1" w:styleId="NormlnIMP">
    <w:name w:val="Normální_IMP"/>
    <w:basedOn w:val="Normln"/>
    <w:uiPriority w:val="99"/>
    <w:qFormat/>
    <w:rsid w:val="00A7253D"/>
    <w:pPr>
      <w:suppressAutoHyphens/>
      <w:spacing w:line="228" w:lineRule="auto"/>
      <w:jc w:val="both"/>
      <w:textAlignment w:val="baseline"/>
    </w:pPr>
  </w:style>
  <w:style w:type="paragraph" w:styleId="Textkomente">
    <w:name w:val="annotation text"/>
    <w:basedOn w:val="Normln"/>
    <w:link w:val="TextkomenteChar"/>
    <w:uiPriority w:val="99"/>
    <w:semiHidden/>
    <w:qFormat/>
    <w:rsid w:val="00A7253D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qFormat/>
    <w:rsid w:val="00A7253D"/>
    <w:pPr>
      <w:widowControl w:val="0"/>
      <w:tabs>
        <w:tab w:val="left" w:pos="540"/>
      </w:tabs>
      <w:ind w:left="540" w:hanging="540"/>
      <w:jc w:val="both"/>
    </w:pPr>
  </w:style>
  <w:style w:type="paragraph" w:styleId="Textbubliny">
    <w:name w:val="Balloon Text"/>
    <w:basedOn w:val="Normln"/>
    <w:link w:val="TextbublinyChar"/>
    <w:uiPriority w:val="99"/>
    <w:semiHidden/>
    <w:qFormat/>
    <w:rsid w:val="00A7253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qFormat/>
    <w:rsid w:val="0032333A"/>
    <w:pPr>
      <w:spacing w:after="120"/>
    </w:pPr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qFormat/>
    <w:rsid w:val="0032333A"/>
    <w:pPr>
      <w:spacing w:after="120" w:line="480" w:lineRule="auto"/>
    </w:pPr>
  </w:style>
  <w:style w:type="paragraph" w:customStyle="1" w:styleId="Textparagrafu">
    <w:name w:val="Text paragrafu"/>
    <w:basedOn w:val="Normln"/>
    <w:uiPriority w:val="99"/>
    <w:qFormat/>
    <w:rsid w:val="0032333A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qFormat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slalnk">
    <w:name w:val="Čísla článků"/>
    <w:basedOn w:val="Normln"/>
    <w:qFormat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5903F0"/>
    <w:pPr>
      <w:tabs>
        <w:tab w:val="center" w:pos="4536"/>
        <w:tab w:val="right" w:pos="9072"/>
      </w:tabs>
    </w:pPr>
  </w:style>
  <w:style w:type="paragraph" w:customStyle="1" w:styleId="Standard">
    <w:name w:val="Standard"/>
    <w:qFormat/>
    <w:rsid w:val="00361650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Obsahtabulky">
    <w:name w:val="Obsah tabulky"/>
    <w:basedOn w:val="Standard"/>
    <w:qFormat/>
    <w:rsid w:val="0036165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1078</Words>
  <Characters>6361</Characters>
  <Application>Microsoft Office Word</Application>
  <DocSecurity>0</DocSecurity>
  <Lines>53</Lines>
  <Paragraphs>14</Paragraphs>
  <ScaleCrop>false</ScaleCrop>
  <Company>MV ČR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Veronika Navrátilová</cp:lastModifiedBy>
  <cp:revision>2</cp:revision>
  <cp:lastPrinted>2023-04-27T10:43:00Z</cp:lastPrinted>
  <dcterms:created xsi:type="dcterms:W3CDTF">2023-05-24T07:02:00Z</dcterms:created>
  <dcterms:modified xsi:type="dcterms:W3CDTF">2023-05-24T07:02:00Z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