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CD870" w14:textId="77777777" w:rsidR="00536166" w:rsidRDefault="00536166" w:rsidP="00536166">
      <w:pPr>
        <w:pStyle w:val="Zkladntext"/>
        <w:spacing w:after="0"/>
        <w:jc w:val="center"/>
        <w:rPr>
          <w:rFonts w:ascii="Arial" w:hAnsi="Arial" w:cs="Arial"/>
          <w:b/>
          <w:spacing w:val="200"/>
          <w:sz w:val="22"/>
          <w:szCs w:val="22"/>
        </w:rPr>
      </w:pPr>
      <w:r w:rsidRPr="003A553A">
        <w:rPr>
          <w:rFonts w:ascii="Arial" w:hAnsi="Arial" w:cs="Arial"/>
          <w:b/>
          <w:spacing w:val="200"/>
          <w:sz w:val="22"/>
          <w:szCs w:val="22"/>
        </w:rPr>
        <w:t>OBEC ČERNÁ U BOHDANČE</w:t>
      </w:r>
    </w:p>
    <w:p w14:paraId="4BE839C5" w14:textId="77777777" w:rsidR="00536166" w:rsidRPr="003502CA" w:rsidRDefault="00536166" w:rsidP="00536166">
      <w:pPr>
        <w:pStyle w:val="Zkladntext"/>
        <w:spacing w:after="0"/>
        <w:jc w:val="center"/>
        <w:rPr>
          <w:rFonts w:ascii="Arial" w:hAnsi="Arial" w:cs="Arial"/>
          <w:b/>
          <w:spacing w:val="200"/>
        </w:rPr>
      </w:pPr>
      <w:r w:rsidRPr="003502CA">
        <w:rPr>
          <w:rFonts w:ascii="Arial" w:hAnsi="Arial" w:cs="Arial"/>
          <w:b/>
          <w:spacing w:val="200"/>
        </w:rPr>
        <w:t>Zastupitelstvo obce</w:t>
      </w:r>
    </w:p>
    <w:p w14:paraId="26FD28CA" w14:textId="77777777" w:rsidR="00536166" w:rsidRPr="003A553A" w:rsidRDefault="00536166" w:rsidP="00536166">
      <w:pPr>
        <w:pStyle w:val="Standard"/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59128846" w14:textId="0EC1E166" w:rsidR="00536166" w:rsidRPr="003A553A" w:rsidRDefault="00C70252" w:rsidP="00536166">
      <w:pPr>
        <w:pStyle w:val="Zkladntext"/>
        <w:tabs>
          <w:tab w:val="left" w:pos="993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762E510" wp14:editId="4D81FC89">
            <wp:extent cx="571500" cy="723900"/>
            <wp:effectExtent l="0" t="0" r="0" b="0"/>
            <wp:docPr id="1" name="Obrázek 2" descr="cerna-u-bohdance_o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erna-u-bohdance_ok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DCCB" w14:textId="744EE4AC" w:rsidR="00536166" w:rsidRPr="003A553A" w:rsidRDefault="00C70252" w:rsidP="00536166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8C752" wp14:editId="1C57EDEA">
                <wp:simplePos x="0" y="0"/>
                <wp:positionH relativeFrom="column">
                  <wp:posOffset>-27940</wp:posOffset>
                </wp:positionH>
                <wp:positionV relativeFrom="paragraph">
                  <wp:posOffset>128905</wp:posOffset>
                </wp:positionV>
                <wp:extent cx="5805805" cy="1270"/>
                <wp:effectExtent l="19050" t="19050" r="23495" b="368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B8A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pt;margin-top:10.15pt;width:457.1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" strokeweight=".26mm">
                <v:stroke joinstyle="miter" endcap="square"/>
              </v:shape>
            </w:pict>
          </mc:Fallback>
        </mc:AlternateContent>
      </w:r>
    </w:p>
    <w:p w14:paraId="03DD18CA" w14:textId="77777777" w:rsidR="00536166" w:rsidRPr="003A553A" w:rsidRDefault="00536166" w:rsidP="0053616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14:paraId="540CA3F8" w14:textId="77777777" w:rsidR="00536166" w:rsidRPr="003A553A" w:rsidRDefault="00536166" w:rsidP="00536166">
      <w:pPr>
        <w:spacing w:line="312" w:lineRule="auto"/>
        <w:jc w:val="center"/>
        <w:rPr>
          <w:rFonts w:ascii="Arial" w:hAnsi="Arial" w:cs="Arial"/>
          <w:b/>
        </w:rPr>
      </w:pPr>
      <w:r w:rsidRPr="003A553A">
        <w:rPr>
          <w:rFonts w:ascii="Arial" w:hAnsi="Arial" w:cs="Arial"/>
          <w:b/>
        </w:rPr>
        <w:t>Obecně závazná vyhláška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5B28C169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536166">
        <w:rPr>
          <w:rFonts w:ascii="Arial" w:hAnsi="Arial" w:cs="Arial"/>
          <w:sz w:val="22"/>
          <w:szCs w:val="22"/>
        </w:rPr>
        <w:t>Černá u Bohdanče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</w:t>
      </w:r>
      <w:r w:rsidR="00893F98" w:rsidRPr="00C70252">
        <w:rPr>
          <w:rFonts w:ascii="Arial" w:hAnsi="Arial" w:cs="Arial"/>
          <w:sz w:val="22"/>
          <w:szCs w:val="22"/>
        </w:rPr>
        <w:t xml:space="preserve">dne </w:t>
      </w:r>
      <w:r w:rsidR="00482F89" w:rsidRPr="00C70252">
        <w:rPr>
          <w:rFonts w:ascii="Arial" w:hAnsi="Arial" w:cs="Arial"/>
          <w:sz w:val="22"/>
          <w:szCs w:val="22"/>
        </w:rPr>
        <w:t>2</w:t>
      </w:r>
      <w:r w:rsidR="00536166" w:rsidRPr="00C70252">
        <w:rPr>
          <w:rFonts w:ascii="Arial" w:hAnsi="Arial" w:cs="Arial"/>
          <w:sz w:val="22"/>
          <w:szCs w:val="22"/>
        </w:rPr>
        <w:t>8</w:t>
      </w:r>
      <w:r w:rsidR="00911179" w:rsidRPr="00C70252">
        <w:rPr>
          <w:rFonts w:ascii="Arial" w:hAnsi="Arial" w:cs="Arial"/>
          <w:sz w:val="22"/>
          <w:szCs w:val="22"/>
        </w:rPr>
        <w:t xml:space="preserve">. </w:t>
      </w:r>
      <w:r w:rsidR="00536166" w:rsidRPr="00C70252">
        <w:rPr>
          <w:rFonts w:ascii="Arial" w:hAnsi="Arial" w:cs="Arial"/>
          <w:sz w:val="22"/>
          <w:szCs w:val="22"/>
        </w:rPr>
        <w:t xml:space="preserve">12. </w:t>
      </w:r>
      <w:r w:rsidR="00A7667E" w:rsidRPr="00C70252">
        <w:rPr>
          <w:rFonts w:ascii="Arial" w:hAnsi="Arial" w:cs="Arial"/>
          <w:sz w:val="22"/>
          <w:szCs w:val="22"/>
        </w:rPr>
        <w:t>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84 od</w:t>
      </w:r>
      <w:bookmarkStart w:id="0" w:name="_GoBack"/>
      <w:bookmarkEnd w:id="0"/>
      <w:r w:rsidR="00893F98" w:rsidRPr="0001228D">
        <w:rPr>
          <w:rFonts w:ascii="Arial" w:hAnsi="Arial" w:cs="Arial"/>
          <w:sz w:val="22"/>
          <w:szCs w:val="22"/>
        </w:rPr>
        <w:t xml:space="preserve">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29A37E2C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536166">
        <w:rPr>
          <w:rFonts w:ascii="Arial" w:hAnsi="Arial" w:cs="Arial"/>
          <w:sz w:val="22"/>
          <w:szCs w:val="22"/>
        </w:rPr>
        <w:t>Černá u Bohdanče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0712F605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887C2A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1AA0B92E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87C2A">
        <w:t xml:space="preserve">. </w:t>
      </w:r>
      <w:r w:rsidR="00887C2A">
        <w:rPr>
          <w:rFonts w:ascii="Arial" w:hAnsi="Arial" w:cs="Arial"/>
          <w:sz w:val="22"/>
          <w:szCs w:val="22"/>
        </w:rPr>
        <w:t>P</w:t>
      </w:r>
      <w:r w:rsidR="005C0AE5" w:rsidRPr="005C0AE5">
        <w:rPr>
          <w:rFonts w:ascii="Arial" w:hAnsi="Arial" w:cs="Arial"/>
          <w:sz w:val="22"/>
          <w:szCs w:val="22"/>
        </w:rPr>
        <w:t xml:space="preserve">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887C2A">
        <w:rPr>
          <w:rFonts w:ascii="Arial" w:hAnsi="Arial" w:cs="Arial"/>
          <w:sz w:val="22"/>
          <w:szCs w:val="22"/>
        </w:rPr>
        <w:t>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77749E1D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482F89">
        <w:rPr>
          <w:rFonts w:ascii="Arial" w:hAnsi="Arial" w:cs="Arial"/>
          <w:sz w:val="22"/>
          <w:szCs w:val="22"/>
        </w:rPr>
        <w:t xml:space="preserve">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1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1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79EF7248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</w:t>
      </w:r>
      <w:r w:rsidR="00482F89">
        <w:rPr>
          <w:rFonts w:ascii="Arial" w:hAnsi="Arial" w:cs="Arial"/>
          <w:sz w:val="22"/>
          <w:szCs w:val="22"/>
        </w:rPr>
        <w:t>ovinen tuto změnu oznámit do 15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4C4C2073" w:rsidR="00893F98" w:rsidRPr="00536166" w:rsidRDefault="00893F98" w:rsidP="00536166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="00A7667E">
        <w:rPr>
          <w:rFonts w:ascii="Arial" w:hAnsi="Arial" w:cs="Arial"/>
          <w:sz w:val="22"/>
          <w:szCs w:val="22"/>
        </w:rPr>
        <w:t>či</w:t>
      </w:r>
      <w:r w:rsidR="00536166">
        <w:rPr>
          <w:rFonts w:ascii="Arial" w:hAnsi="Arial" w:cs="Arial"/>
          <w:sz w:val="22"/>
          <w:szCs w:val="22"/>
        </w:rPr>
        <w:t xml:space="preserve">ní </w:t>
      </w:r>
      <w:r w:rsidR="00BA5478" w:rsidRPr="00536166">
        <w:rPr>
          <w:rFonts w:ascii="Arial" w:hAnsi="Arial" w:cs="Arial"/>
          <w:sz w:val="22"/>
          <w:szCs w:val="22"/>
        </w:rPr>
        <w:t xml:space="preserve">za </w:t>
      </w:r>
      <w:r w:rsidR="00536166">
        <w:rPr>
          <w:rFonts w:ascii="Arial" w:hAnsi="Arial" w:cs="Arial"/>
          <w:sz w:val="22"/>
          <w:szCs w:val="22"/>
        </w:rPr>
        <w:t>každého</w:t>
      </w:r>
      <w:r w:rsidR="00C70252">
        <w:rPr>
          <w:rFonts w:ascii="Arial" w:hAnsi="Arial" w:cs="Arial"/>
          <w:sz w:val="22"/>
          <w:szCs w:val="22"/>
        </w:rPr>
        <w:t xml:space="preserve"> </w:t>
      </w:r>
      <w:r w:rsidR="00A7667E" w:rsidRPr="00536166">
        <w:rPr>
          <w:rFonts w:ascii="Arial" w:hAnsi="Arial" w:cs="Arial"/>
          <w:sz w:val="22"/>
          <w:szCs w:val="22"/>
        </w:rPr>
        <w:t>psa</w:t>
      </w:r>
      <w:r w:rsidR="00C70252">
        <w:rPr>
          <w:rFonts w:ascii="Arial" w:hAnsi="Arial" w:cs="Arial"/>
          <w:sz w:val="22"/>
          <w:szCs w:val="22"/>
        </w:rPr>
        <w:t xml:space="preserve"> </w:t>
      </w:r>
      <w:r w:rsidR="00536166" w:rsidRPr="00C70252">
        <w:rPr>
          <w:rFonts w:ascii="Arial" w:hAnsi="Arial" w:cs="Arial"/>
          <w:b/>
          <w:sz w:val="22"/>
          <w:szCs w:val="22"/>
        </w:rPr>
        <w:t>2</w:t>
      </w:r>
      <w:r w:rsidR="00482F89" w:rsidRPr="00C70252">
        <w:rPr>
          <w:rFonts w:ascii="Arial" w:hAnsi="Arial" w:cs="Arial"/>
          <w:b/>
          <w:sz w:val="22"/>
          <w:szCs w:val="22"/>
        </w:rPr>
        <w:t xml:space="preserve">00 </w:t>
      </w:r>
      <w:r w:rsidR="00BA5478" w:rsidRPr="00C70252">
        <w:rPr>
          <w:rFonts w:ascii="Arial" w:hAnsi="Arial" w:cs="Arial"/>
          <w:b/>
          <w:sz w:val="22"/>
          <w:szCs w:val="22"/>
        </w:rPr>
        <w:t>Kč</w:t>
      </w:r>
      <w:r w:rsidR="00536166" w:rsidRPr="00C70252">
        <w:rPr>
          <w:rFonts w:ascii="Arial" w:hAnsi="Arial" w:cs="Arial"/>
          <w:b/>
          <w:sz w:val="22"/>
          <w:szCs w:val="22"/>
        </w:rPr>
        <w:t>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>V případě trvání poplatkové povinnosti po dobu kratší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3DE01135" w14:textId="3E7F119F" w:rsidR="008D18AB" w:rsidRPr="00887C2A" w:rsidRDefault="008D0936" w:rsidP="00887C2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4269F2B7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536166">
        <w:rPr>
          <w:rFonts w:ascii="Arial" w:hAnsi="Arial" w:cs="Arial"/>
          <w:sz w:val="22"/>
          <w:szCs w:val="22"/>
        </w:rPr>
        <w:t>konce měsíce února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0B6775AA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</w:t>
      </w:r>
      <w:r w:rsidR="00482F89">
        <w:rPr>
          <w:rFonts w:ascii="Arial" w:hAnsi="Arial" w:cs="Arial"/>
          <w:sz w:val="22"/>
          <w:szCs w:val="22"/>
        </w:rPr>
        <w:t>ek splatný nejpozději do 15. dne</w:t>
      </w:r>
      <w:r w:rsidRPr="00306B8E">
        <w:rPr>
          <w:rFonts w:ascii="Arial" w:hAnsi="Arial" w:cs="Arial"/>
          <w:sz w:val="22"/>
          <w:szCs w:val="22"/>
        </w:rPr>
        <w:t xml:space="preserve">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887C2A">
        <w:rPr>
          <w:rFonts w:ascii="Arial" w:hAnsi="Arial" w:cs="Arial"/>
          <w:sz w:val="22"/>
          <w:szCs w:val="22"/>
        </w:rPr>
        <w:t>.</w:t>
      </w:r>
    </w:p>
    <w:p w14:paraId="6898570E" w14:textId="26A2B6E1" w:rsidR="0070058B" w:rsidRPr="00887C2A" w:rsidRDefault="0070058B" w:rsidP="00887C2A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34225475" w:rsidR="00893F98" w:rsidRPr="004035A7" w:rsidRDefault="00887C2A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55957C6B" w14:textId="18C3DD96" w:rsidR="00BA5478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</w:p>
    <w:p w14:paraId="2D1884FB" w14:textId="5EC5F5BA" w:rsidR="00536166" w:rsidRPr="00536166" w:rsidRDefault="00536166" w:rsidP="00536166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 rozhodný pro osvobození dle odst. 1 tohoto článku je poplatník povinen ohlásit ve lhůtě do </w:t>
      </w:r>
      <w:r w:rsidRPr="00CE441A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dnů od skutečnosti zakládající nárok na osvobození.</w:t>
      </w:r>
    </w:p>
    <w:p w14:paraId="341B6A42" w14:textId="5CE36D38" w:rsidR="00C735F5" w:rsidRPr="00887C2A" w:rsidRDefault="00C7399D" w:rsidP="00887C2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</w:t>
      </w:r>
      <w:r w:rsidR="0049085C">
        <w:rPr>
          <w:rFonts w:ascii="Arial" w:hAnsi="Arial" w:cs="Arial"/>
          <w:sz w:val="22"/>
          <w:szCs w:val="22"/>
        </w:rPr>
        <w:t>zhodný pro osvobození</w:t>
      </w:r>
      <w:r w:rsidRPr="00DC518A">
        <w:rPr>
          <w:rFonts w:ascii="Arial" w:hAnsi="Arial" w:cs="Arial"/>
          <w:sz w:val="22"/>
          <w:szCs w:val="22"/>
        </w:rPr>
        <w:t xml:space="preserve"> ve lhůtách stanovených touto vyhláškou nebo zákonem, ná</w:t>
      </w:r>
      <w:r w:rsidR="0049085C">
        <w:rPr>
          <w:rFonts w:ascii="Arial" w:hAnsi="Arial" w:cs="Arial"/>
          <w:sz w:val="22"/>
          <w:szCs w:val="22"/>
        </w:rPr>
        <w:t>rok na osvobození</w:t>
      </w:r>
      <w:r w:rsidRPr="00DC518A">
        <w:rPr>
          <w:rFonts w:ascii="Arial" w:hAnsi="Arial" w:cs="Arial"/>
          <w:sz w:val="22"/>
          <w:szCs w:val="22"/>
        </w:rPr>
        <w:t xml:space="preserve">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7670AC2" w14:textId="10F20B42" w:rsidR="00C735F5" w:rsidRPr="00536166" w:rsidRDefault="00887C2A" w:rsidP="00C735F5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87C2A">
        <w:rPr>
          <w:rFonts w:ascii="Arial" w:hAnsi="Arial" w:cs="Arial"/>
          <w:sz w:val="22"/>
          <w:szCs w:val="22"/>
        </w:rPr>
        <w:t>Ruší</w:t>
      </w:r>
      <w:r w:rsidR="009E6604" w:rsidRPr="00887C2A">
        <w:rPr>
          <w:rFonts w:ascii="Arial" w:hAnsi="Arial" w:cs="Arial"/>
          <w:sz w:val="22"/>
          <w:szCs w:val="22"/>
        </w:rPr>
        <w:t xml:space="preserve"> se obecně závazná vyhláška č. </w:t>
      </w:r>
      <w:r w:rsidR="00536166">
        <w:rPr>
          <w:rFonts w:ascii="Arial" w:hAnsi="Arial" w:cs="Arial"/>
          <w:sz w:val="22"/>
          <w:szCs w:val="22"/>
        </w:rPr>
        <w:t>3</w:t>
      </w:r>
      <w:r w:rsidR="009E6604" w:rsidRPr="00887C2A">
        <w:rPr>
          <w:rFonts w:ascii="Arial" w:hAnsi="Arial" w:cs="Arial"/>
          <w:sz w:val="22"/>
          <w:szCs w:val="22"/>
        </w:rPr>
        <w:t>/</w:t>
      </w:r>
      <w:r w:rsidR="00482F89">
        <w:rPr>
          <w:rFonts w:ascii="Arial" w:hAnsi="Arial" w:cs="Arial"/>
          <w:sz w:val="22"/>
          <w:szCs w:val="22"/>
        </w:rPr>
        <w:t>20</w:t>
      </w:r>
      <w:r w:rsidR="00536166">
        <w:rPr>
          <w:rFonts w:ascii="Arial" w:hAnsi="Arial" w:cs="Arial"/>
          <w:sz w:val="22"/>
          <w:szCs w:val="22"/>
        </w:rPr>
        <w:t>22</w:t>
      </w:r>
      <w:r w:rsidRPr="00887C2A">
        <w:rPr>
          <w:rFonts w:ascii="Arial" w:hAnsi="Arial" w:cs="Arial"/>
          <w:sz w:val="22"/>
          <w:szCs w:val="22"/>
        </w:rPr>
        <w:t>, o místním poplatku ze psů</w:t>
      </w:r>
      <w:r w:rsidR="009E6604" w:rsidRPr="00887C2A">
        <w:rPr>
          <w:rFonts w:ascii="Arial" w:hAnsi="Arial" w:cs="Arial"/>
          <w:sz w:val="22"/>
          <w:szCs w:val="22"/>
        </w:rPr>
        <w:t>, ze dne</w:t>
      </w:r>
      <w:r w:rsidR="00482F89">
        <w:rPr>
          <w:rFonts w:ascii="Arial" w:hAnsi="Arial" w:cs="Arial"/>
          <w:sz w:val="22"/>
          <w:szCs w:val="22"/>
        </w:rPr>
        <w:t xml:space="preserve"> </w:t>
      </w:r>
      <w:r w:rsidR="00536166">
        <w:rPr>
          <w:rFonts w:ascii="Arial" w:hAnsi="Arial" w:cs="Arial"/>
          <w:sz w:val="22"/>
          <w:szCs w:val="22"/>
        </w:rPr>
        <w:t>28</w:t>
      </w:r>
      <w:r w:rsidR="00482F89">
        <w:rPr>
          <w:rFonts w:ascii="Arial" w:hAnsi="Arial" w:cs="Arial"/>
          <w:sz w:val="22"/>
          <w:szCs w:val="22"/>
        </w:rPr>
        <w:t>. 12. 20</w:t>
      </w:r>
      <w:r w:rsidR="00536166">
        <w:rPr>
          <w:rFonts w:ascii="Arial" w:hAnsi="Arial" w:cs="Arial"/>
          <w:sz w:val="22"/>
          <w:szCs w:val="22"/>
        </w:rPr>
        <w:t>22</w:t>
      </w:r>
      <w:r w:rsidRPr="00887C2A">
        <w:rPr>
          <w:rFonts w:ascii="Arial" w:hAnsi="Arial" w:cs="Arial"/>
          <w:sz w:val="22"/>
          <w:szCs w:val="22"/>
        </w:rPr>
        <w:t>.</w:t>
      </w: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8</w:t>
      </w:r>
    </w:p>
    <w:p w14:paraId="35C11834" w14:textId="20FCB5A4" w:rsidR="008D18AB" w:rsidRPr="0049085C" w:rsidRDefault="00893F98" w:rsidP="0049085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3BCF6444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49085C">
        <w:rPr>
          <w:rFonts w:ascii="Arial" w:hAnsi="Arial" w:cs="Arial"/>
          <w:sz w:val="22"/>
          <w:szCs w:val="22"/>
        </w:rPr>
        <w:t xml:space="preserve"> 1. 1. 2024.</w:t>
      </w:r>
    </w:p>
    <w:p w14:paraId="55D15716" w14:textId="19F85CF1" w:rsidR="000A0388" w:rsidRPr="0049085C" w:rsidRDefault="000A0388" w:rsidP="0049085C">
      <w:pPr>
        <w:pStyle w:val="Nzvylnk"/>
        <w:jc w:val="left"/>
        <w:rPr>
          <w:rFonts w:ascii="Arial" w:hAnsi="Arial" w:cs="Arial"/>
          <w:color w:val="0070C0"/>
        </w:rPr>
      </w:pPr>
    </w:p>
    <w:p w14:paraId="5B06C63A" w14:textId="77777777" w:rsidR="000A0388" w:rsidRDefault="000A0388" w:rsidP="000A0388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24A36CE" w14:textId="64254B22" w:rsidR="00A80117" w:rsidRDefault="00A80117">
      <w:pPr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2BDA7E95" w14:textId="51267077" w:rsidR="00A7667E" w:rsidRPr="00584221" w:rsidRDefault="00A7667E" w:rsidP="00584221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54F7487" w14:textId="1850AC51" w:rsidR="00536166" w:rsidRPr="003A553A" w:rsidRDefault="00536166" w:rsidP="00536166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3A553A">
        <w:rPr>
          <w:rFonts w:ascii="Arial" w:hAnsi="Arial" w:cs="Arial"/>
          <w:i/>
          <w:sz w:val="22"/>
          <w:szCs w:val="22"/>
        </w:rPr>
        <w:t>...................................</w:t>
      </w:r>
      <w:r w:rsidRPr="003A553A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436166B" w14:textId="77777777" w:rsidR="00536166" w:rsidRPr="003A553A" w:rsidRDefault="00536166" w:rsidP="00536166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3A553A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3A553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Michal Horák v. r.</w:t>
      </w:r>
      <w:r w:rsidRPr="003A553A">
        <w:rPr>
          <w:rFonts w:ascii="Arial" w:hAnsi="Arial" w:cs="Arial"/>
          <w:sz w:val="22"/>
          <w:szCs w:val="22"/>
        </w:rPr>
        <w:tab/>
        <w:t>Ing. Luděk Pilný</w:t>
      </w:r>
      <w:r>
        <w:rPr>
          <w:rFonts w:ascii="Arial" w:hAnsi="Arial" w:cs="Arial"/>
          <w:sz w:val="22"/>
          <w:szCs w:val="22"/>
        </w:rPr>
        <w:t xml:space="preserve"> v. r.</w:t>
      </w:r>
    </w:p>
    <w:p w14:paraId="4A06C343" w14:textId="77777777" w:rsidR="00536166" w:rsidRPr="003A553A" w:rsidRDefault="00536166" w:rsidP="00536166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3A55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3A553A">
        <w:rPr>
          <w:rFonts w:ascii="Arial" w:hAnsi="Arial" w:cs="Arial"/>
          <w:sz w:val="22"/>
          <w:szCs w:val="22"/>
        </w:rPr>
        <w:t>místostarosta</w:t>
      </w:r>
      <w:r w:rsidRPr="003A553A">
        <w:rPr>
          <w:rFonts w:ascii="Arial" w:hAnsi="Arial" w:cs="Arial"/>
          <w:sz w:val="22"/>
          <w:szCs w:val="22"/>
        </w:rPr>
        <w:tab/>
        <w:t>starosta</w:t>
      </w:r>
    </w:p>
    <w:p w14:paraId="007DCA9E" w14:textId="77777777" w:rsidR="00536166" w:rsidRDefault="00536166" w:rsidP="00536166">
      <w:pPr>
        <w:spacing w:after="240" w:line="312" w:lineRule="auto"/>
        <w:rPr>
          <w:rFonts w:ascii="Arial" w:hAnsi="Arial" w:cs="Arial"/>
          <w:b/>
        </w:rPr>
      </w:pPr>
    </w:p>
    <w:p w14:paraId="3EC6ADF0" w14:textId="50A48663" w:rsidR="00A7667E" w:rsidRPr="002E0EAD" w:rsidRDefault="00A7667E" w:rsidP="00BA5478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4F7B12E" w14:textId="0BC96319" w:rsidR="00A80117" w:rsidRDefault="00A80117" w:rsidP="00A7667E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4A5D" w14:textId="77777777" w:rsidR="002137A6" w:rsidRDefault="002137A6">
      <w:r>
        <w:separator/>
      </w:r>
    </w:p>
  </w:endnote>
  <w:endnote w:type="continuationSeparator" w:id="0">
    <w:p w14:paraId="5EE22098" w14:textId="77777777" w:rsidR="002137A6" w:rsidRDefault="0021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3B2A" w14:textId="55005809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D952AD">
      <w:rPr>
        <w:rFonts w:ascii="Arial" w:hAnsi="Arial" w:cs="Arial"/>
        <w:noProof/>
      </w:rPr>
      <w:t>3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793A" w14:textId="77777777" w:rsidR="002137A6" w:rsidRDefault="002137A6">
      <w:r>
        <w:separator/>
      </w:r>
    </w:p>
  </w:footnote>
  <w:footnote w:type="continuationSeparator" w:id="0">
    <w:p w14:paraId="0267EDC0" w14:textId="77777777" w:rsidR="002137A6" w:rsidRDefault="002137A6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Aria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3"/>
  </w:num>
  <w:num w:numId="5">
    <w:abstractNumId w:val="14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137A6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44EF2"/>
    <w:rsid w:val="0035732F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82F89"/>
    <w:rsid w:val="0049085C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36166"/>
    <w:rsid w:val="00552808"/>
    <w:rsid w:val="00584221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856F2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C2A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1179"/>
    <w:rsid w:val="00916315"/>
    <w:rsid w:val="00917998"/>
    <w:rsid w:val="00921A5A"/>
    <w:rsid w:val="00942E81"/>
    <w:rsid w:val="009508FA"/>
    <w:rsid w:val="00952CBB"/>
    <w:rsid w:val="00967DE6"/>
    <w:rsid w:val="009918B5"/>
    <w:rsid w:val="009A183F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06B1"/>
    <w:rsid w:val="00A41A87"/>
    <w:rsid w:val="00A42297"/>
    <w:rsid w:val="00A45EBD"/>
    <w:rsid w:val="00A60454"/>
    <w:rsid w:val="00A7667E"/>
    <w:rsid w:val="00A80117"/>
    <w:rsid w:val="00A8202E"/>
    <w:rsid w:val="00A8365F"/>
    <w:rsid w:val="00A847F8"/>
    <w:rsid w:val="00A97AE5"/>
    <w:rsid w:val="00AC4F2C"/>
    <w:rsid w:val="00AD7AF5"/>
    <w:rsid w:val="00AE3FCE"/>
    <w:rsid w:val="00B13395"/>
    <w:rsid w:val="00B161E7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A1DD2"/>
    <w:rsid w:val="00BA5478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0252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49A0"/>
    <w:rsid w:val="00CF60DA"/>
    <w:rsid w:val="00D12227"/>
    <w:rsid w:val="00D14500"/>
    <w:rsid w:val="00D17DB8"/>
    <w:rsid w:val="00D250F9"/>
    <w:rsid w:val="00D320E5"/>
    <w:rsid w:val="00D344A6"/>
    <w:rsid w:val="00D371D4"/>
    <w:rsid w:val="00D52FC4"/>
    <w:rsid w:val="00D63CCB"/>
    <w:rsid w:val="00D819EC"/>
    <w:rsid w:val="00D8544F"/>
    <w:rsid w:val="00D952AD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28EE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0B6E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A766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7667E"/>
    <w:rPr>
      <w:rFonts w:ascii="Arial" w:hAnsi="Arial" w:cs="Arial"/>
      <w:b/>
      <w:bCs/>
      <w:kern w:val="28"/>
      <w:sz w:val="32"/>
      <w:szCs w:val="32"/>
    </w:rPr>
  </w:style>
  <w:style w:type="paragraph" w:customStyle="1" w:styleId="NormlnIMP">
    <w:name w:val="Normální_IMP"/>
    <w:basedOn w:val="Normln"/>
    <w:rsid w:val="00A7667E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Standard">
    <w:name w:val="Standard"/>
    <w:rsid w:val="00536166"/>
    <w:pPr>
      <w:suppressAutoHyphens/>
      <w:autoSpaceDN w:val="0"/>
      <w:spacing w:after="200" w:line="276" w:lineRule="auto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3A1A-3E57-40B1-B3A3-F7BDB1EB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OU Černá</cp:lastModifiedBy>
  <cp:revision>3</cp:revision>
  <cp:lastPrinted>2019-09-23T08:46:00Z</cp:lastPrinted>
  <dcterms:created xsi:type="dcterms:W3CDTF">2023-12-14T10:51:00Z</dcterms:created>
  <dcterms:modified xsi:type="dcterms:W3CDTF">2023-12-29T15:00:00Z</dcterms:modified>
</cp:coreProperties>
</file>