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3F30A771" w:rsidR="00455210" w:rsidRPr="00D16538" w:rsidRDefault="00F53AF9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F53AF9">
              <w:rPr>
                <w:rFonts w:ascii="Times New Roman" w:hAnsi="Times New Roman"/>
              </w:rPr>
              <w:t>SZ UKZUZ 041567/2025/11355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71B821B2" w:rsidR="00455210" w:rsidRPr="00D16538" w:rsidRDefault="00285F29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285F29">
              <w:rPr>
                <w:rFonts w:ascii="Times New Roman" w:hAnsi="Times New Roman"/>
              </w:rPr>
              <w:t>UKZUZ 043088/2025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4B38AB90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F53AF9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67BF8A60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5473A9">
              <w:rPr>
                <w:rFonts w:ascii="Times New Roman" w:hAnsi="Times New Roman"/>
              </w:rPr>
              <w:t>karate zeon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6F99EEB" w:rsidR="00455210" w:rsidRPr="00D24B06" w:rsidRDefault="00F53AF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DA0D86" w:rsidRPr="0064351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března</w:t>
            </w:r>
            <w:r w:rsidR="00DA0D86" w:rsidRPr="00643519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ust.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519C8B91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5473A9">
        <w:rPr>
          <w:rFonts w:ascii="Times New Roman" w:hAnsi="Times New Roman"/>
          <w:b/>
          <w:sz w:val="28"/>
          <w:szCs w:val="28"/>
        </w:rPr>
        <w:t xml:space="preserve">Karate 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Zeon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9AE044" w14:textId="77777777" w:rsidR="00502DFD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16F385E7" w:rsidR="00502DFD" w:rsidRDefault="00502DFD" w:rsidP="00032F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Přípravek Karate Zeon se povoluje pro použití pro vlastní potřebu formou vzájemného uznávání ze Spolkové republiky Německo.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4CEC0AF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99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984"/>
        <w:gridCol w:w="1275"/>
        <w:gridCol w:w="567"/>
        <w:gridCol w:w="2127"/>
        <w:gridCol w:w="2200"/>
      </w:tblGrid>
      <w:tr w:rsidR="009A23FB" w:rsidRPr="009A23FB" w14:paraId="3F8DA91B" w14:textId="77777777" w:rsidTr="00297D87">
        <w:tc>
          <w:tcPr>
            <w:tcW w:w="1844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84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7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34F55" w:rsidRPr="00534F55" w14:paraId="07CE8FD5" w14:textId="77777777" w:rsidTr="00297D87">
        <w:tc>
          <w:tcPr>
            <w:tcW w:w="1844" w:type="dxa"/>
          </w:tcPr>
          <w:p w14:paraId="389D3D63" w14:textId="44B70161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ředkvička</w:t>
            </w:r>
          </w:p>
        </w:tc>
        <w:tc>
          <w:tcPr>
            <w:tcW w:w="1984" w:type="dxa"/>
          </w:tcPr>
          <w:p w14:paraId="0348E1E0" w14:textId="7B878A4B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1E0DF8DD" w14:textId="20326B04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l/ha</w:t>
            </w:r>
          </w:p>
        </w:tc>
        <w:tc>
          <w:tcPr>
            <w:tcW w:w="567" w:type="dxa"/>
          </w:tcPr>
          <w:p w14:paraId="688555AC" w14:textId="54958BAC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127" w:type="dxa"/>
          </w:tcPr>
          <w:p w14:paraId="38D66729" w14:textId="79E052F0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2200" w:type="dxa"/>
          </w:tcPr>
          <w:p w14:paraId="144074D3" w14:textId="5568FC66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534F55" w:rsidRPr="00534F55" w14:paraId="23210DF1" w14:textId="77777777" w:rsidTr="00297D87">
        <w:trPr>
          <w:trHeight w:val="57"/>
        </w:trPr>
        <w:tc>
          <w:tcPr>
            <w:tcW w:w="1844" w:type="dxa"/>
          </w:tcPr>
          <w:p w14:paraId="1A70954E" w14:textId="64BBC42C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rukola</w:t>
            </w:r>
          </w:p>
        </w:tc>
        <w:tc>
          <w:tcPr>
            <w:tcW w:w="1984" w:type="dxa"/>
          </w:tcPr>
          <w:p w14:paraId="6C1C8A47" w14:textId="66AA46C1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1DF1C7CC" w14:textId="39136B58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l/ha</w:t>
            </w:r>
          </w:p>
        </w:tc>
        <w:tc>
          <w:tcPr>
            <w:tcW w:w="567" w:type="dxa"/>
          </w:tcPr>
          <w:p w14:paraId="2220BE7F" w14:textId="081C23AC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62B41255" w14:textId="58556350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2200" w:type="dxa"/>
          </w:tcPr>
          <w:p w14:paraId="31304057" w14:textId="6CEE0F2F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244D6" w:rsidRPr="00534F55" w14:paraId="4F716034" w14:textId="77777777" w:rsidTr="00297D87">
        <w:trPr>
          <w:trHeight w:val="57"/>
        </w:trPr>
        <w:tc>
          <w:tcPr>
            <w:tcW w:w="1844" w:type="dxa"/>
          </w:tcPr>
          <w:p w14:paraId="022EF6AC" w14:textId="03940093" w:rsidR="009244D6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kedluben</w:t>
            </w:r>
          </w:p>
        </w:tc>
        <w:tc>
          <w:tcPr>
            <w:tcW w:w="1984" w:type="dxa"/>
          </w:tcPr>
          <w:p w14:paraId="5EB9C946" w14:textId="75571DDE" w:rsidR="009244D6" w:rsidRPr="00534F55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186B6364" w14:textId="0EF913A2" w:rsidR="009244D6" w:rsidRPr="00534F55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l/ha</w:t>
            </w:r>
          </w:p>
        </w:tc>
        <w:tc>
          <w:tcPr>
            <w:tcW w:w="567" w:type="dxa"/>
          </w:tcPr>
          <w:p w14:paraId="6AD0BF74" w14:textId="70EA69B3" w:rsidR="009244D6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127" w:type="dxa"/>
          </w:tcPr>
          <w:p w14:paraId="654DB3F5" w14:textId="6640679F" w:rsidR="009244D6" w:rsidRPr="00502DFD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12 BBCH</w:t>
            </w:r>
          </w:p>
        </w:tc>
        <w:tc>
          <w:tcPr>
            <w:tcW w:w="2200" w:type="dxa"/>
          </w:tcPr>
          <w:p w14:paraId="6543ECBA" w14:textId="77777777" w:rsidR="009244D6" w:rsidRPr="00502DFD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pole, chráněné prostory</w:t>
            </w:r>
          </w:p>
          <w:p w14:paraId="70FDB0B7" w14:textId="5151F300" w:rsidR="00D24AC0" w:rsidRPr="00502DFD" w:rsidRDefault="00D24AC0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nelze konzumovat nebo zkrmovat listy</w:t>
            </w:r>
          </w:p>
        </w:tc>
      </w:tr>
      <w:tr w:rsidR="009244D6" w:rsidRPr="00534F55" w14:paraId="020E8458" w14:textId="77777777" w:rsidTr="00297D87">
        <w:trPr>
          <w:trHeight w:val="57"/>
        </w:trPr>
        <w:tc>
          <w:tcPr>
            <w:tcW w:w="1844" w:type="dxa"/>
          </w:tcPr>
          <w:p w14:paraId="3BA9F14C" w14:textId="32EE17FA" w:rsidR="009244D6" w:rsidRDefault="00D95379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yk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jedl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ou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slupk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ou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okurka, 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patizon, cuketa</w:t>
            </w:r>
          </w:p>
        </w:tc>
        <w:tc>
          <w:tcPr>
            <w:tcW w:w="1984" w:type="dxa"/>
          </w:tcPr>
          <w:p w14:paraId="019AB852" w14:textId="7AC74937" w:rsidR="009244D6" w:rsidRPr="00534F55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279DCEBF" w14:textId="49A294B3" w:rsidR="009244D6" w:rsidRPr="00534F55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l/ha</w:t>
            </w:r>
          </w:p>
        </w:tc>
        <w:tc>
          <w:tcPr>
            <w:tcW w:w="567" w:type="dxa"/>
          </w:tcPr>
          <w:p w14:paraId="6C114EA0" w14:textId="6BE5DBFB" w:rsidR="009244D6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7" w:type="dxa"/>
          </w:tcPr>
          <w:p w14:paraId="6F024247" w14:textId="1C816391" w:rsidR="009244D6" w:rsidRPr="00502DFD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 w:rsidR="00D24AC0"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 výšky 50 cm; </w:t>
            </w: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od: 12 BBCH</w:t>
            </w:r>
          </w:p>
        </w:tc>
        <w:tc>
          <w:tcPr>
            <w:tcW w:w="2200" w:type="dxa"/>
          </w:tcPr>
          <w:p w14:paraId="44B58079" w14:textId="52AD87B1" w:rsidR="009244D6" w:rsidRPr="00502DFD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0D25A853" w14:textId="77777777" w:rsidR="00032F2E" w:rsidRDefault="00032F2E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6BB4AB89" w:rsidR="009A23FB" w:rsidRDefault="009244D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9244D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FD2DBA6" w14:textId="77777777" w:rsidR="009244D6" w:rsidRPr="006F4A86" w:rsidRDefault="009244D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92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4537"/>
        <w:gridCol w:w="1559"/>
        <w:gridCol w:w="1844"/>
        <w:gridCol w:w="1982"/>
      </w:tblGrid>
      <w:tr w:rsidR="00F53AF9" w:rsidRPr="009A23FB" w14:paraId="3B191BF1" w14:textId="197CD780" w:rsidTr="00F53AF9">
        <w:tc>
          <w:tcPr>
            <w:tcW w:w="4537" w:type="dxa"/>
          </w:tcPr>
          <w:p w14:paraId="6D21D4C2" w14:textId="77777777" w:rsidR="00F53AF9" w:rsidRPr="009A23FB" w:rsidRDefault="00F53AF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59" w:type="dxa"/>
          </w:tcPr>
          <w:p w14:paraId="45EC12A2" w14:textId="77777777" w:rsidR="00F53AF9" w:rsidRPr="009A23FB" w:rsidRDefault="00F53AF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4" w:type="dxa"/>
          </w:tcPr>
          <w:p w14:paraId="0C93A9F2" w14:textId="77777777" w:rsidR="00F53AF9" w:rsidRPr="009A23FB" w:rsidRDefault="00F53AF9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2" w:type="dxa"/>
          </w:tcPr>
          <w:p w14:paraId="17EB5B45" w14:textId="77777777" w:rsidR="00F53AF9" w:rsidRPr="009A23FB" w:rsidRDefault="00F53AF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F53AF9" w:rsidRPr="00534F55" w14:paraId="369D0BB2" w14:textId="488DCD40" w:rsidTr="00F53AF9">
        <w:tc>
          <w:tcPr>
            <w:tcW w:w="4537" w:type="dxa"/>
          </w:tcPr>
          <w:p w14:paraId="4D51B707" w14:textId="28506ED5" w:rsidR="00F53AF9" w:rsidRPr="009A23FB" w:rsidRDefault="00F53AF9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ředkvička, kedluben, rukola, tykev s jedlou slupkou, okurka, patizon, cuketa</w:t>
            </w:r>
          </w:p>
        </w:tc>
        <w:tc>
          <w:tcPr>
            <w:tcW w:w="1559" w:type="dxa"/>
          </w:tcPr>
          <w:p w14:paraId="52E77683" w14:textId="360A2AA8" w:rsidR="00F53AF9" w:rsidRPr="009A23FB" w:rsidRDefault="00F53AF9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1844" w:type="dxa"/>
          </w:tcPr>
          <w:p w14:paraId="14BA59CE" w14:textId="54E106CA" w:rsidR="00F53AF9" w:rsidRPr="009A23FB" w:rsidRDefault="00F53AF9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982" w:type="dxa"/>
          </w:tcPr>
          <w:p w14:paraId="4C1401FC" w14:textId="10086C75" w:rsidR="00F53AF9" w:rsidRPr="009A23FB" w:rsidRDefault="00F53AF9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</w:tr>
    </w:tbl>
    <w:p w14:paraId="5252CC12" w14:textId="77777777" w:rsidR="00730FDE" w:rsidRDefault="00730FD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781A6132" w14:textId="77777777" w:rsidR="00502DFD" w:rsidRP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9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428"/>
        <w:gridCol w:w="1417"/>
        <w:gridCol w:w="1373"/>
        <w:gridCol w:w="1495"/>
        <w:gridCol w:w="7"/>
      </w:tblGrid>
      <w:tr w:rsidR="00502DFD" w:rsidRPr="00502DFD" w14:paraId="38942FBB" w14:textId="77777777" w:rsidTr="00502DFD">
        <w:trPr>
          <w:gridAfter w:val="1"/>
          <w:wAfter w:w="7" w:type="dxa"/>
          <w:trHeight w:val="198"/>
        </w:trPr>
        <w:tc>
          <w:tcPr>
            <w:tcW w:w="4253" w:type="dxa"/>
            <w:shd w:val="clear" w:color="auto" w:fill="FFFFFF"/>
            <w:vAlign w:val="center"/>
            <w:hideMark/>
          </w:tcPr>
          <w:p w14:paraId="270FC569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428" w:type="dxa"/>
            <w:vAlign w:val="center"/>
            <w:hideMark/>
          </w:tcPr>
          <w:p w14:paraId="23150591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7" w:type="dxa"/>
            <w:vAlign w:val="center"/>
            <w:hideMark/>
          </w:tcPr>
          <w:p w14:paraId="78835CE5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50 %</w:t>
            </w:r>
          </w:p>
        </w:tc>
        <w:tc>
          <w:tcPr>
            <w:tcW w:w="1373" w:type="dxa"/>
            <w:vAlign w:val="center"/>
            <w:hideMark/>
          </w:tcPr>
          <w:p w14:paraId="628FB97F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75 %</w:t>
            </w:r>
          </w:p>
        </w:tc>
        <w:tc>
          <w:tcPr>
            <w:tcW w:w="1495" w:type="dxa"/>
            <w:vAlign w:val="center"/>
            <w:hideMark/>
          </w:tcPr>
          <w:p w14:paraId="3ECC242A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90 %</w:t>
            </w:r>
          </w:p>
        </w:tc>
      </w:tr>
      <w:tr w:rsidR="00502DFD" w:rsidRPr="00502DFD" w14:paraId="6EA2222B" w14:textId="77777777" w:rsidTr="00502DFD">
        <w:trPr>
          <w:trHeight w:val="182"/>
        </w:trPr>
        <w:tc>
          <w:tcPr>
            <w:tcW w:w="9973" w:type="dxa"/>
            <w:gridSpan w:val="6"/>
            <w:shd w:val="clear" w:color="auto" w:fill="FFFFFF"/>
            <w:vAlign w:val="center"/>
            <w:hideMark/>
          </w:tcPr>
          <w:p w14:paraId="27F7F5EC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502DFD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502DFD" w:rsidRPr="00502DFD" w14:paraId="156567CA" w14:textId="77777777" w:rsidTr="00502DFD">
        <w:trPr>
          <w:gridAfter w:val="1"/>
          <w:wAfter w:w="7" w:type="dxa"/>
          <w:trHeight w:val="117"/>
        </w:trPr>
        <w:tc>
          <w:tcPr>
            <w:tcW w:w="4253" w:type="dxa"/>
            <w:shd w:val="clear" w:color="auto" w:fill="FFFFFF"/>
            <w:vAlign w:val="center"/>
          </w:tcPr>
          <w:p w14:paraId="5D05B7BE" w14:textId="77777777" w:rsidR="00502DFD" w:rsidRPr="00502DFD" w:rsidRDefault="00502DFD" w:rsidP="00502DFD">
            <w:pPr>
              <w:widowControl w:val="0"/>
              <w:spacing w:after="0"/>
              <w:ind w:right="-142" w:firstLine="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ředkvička, kedluben, rukola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3F66D20F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69561B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0BD2824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95" w:type="dxa"/>
            <w:shd w:val="clear" w:color="auto" w:fill="FFFFFF"/>
            <w:vAlign w:val="center"/>
          </w:tcPr>
          <w:p w14:paraId="25DC744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502DFD" w:rsidRPr="00502DFD" w14:paraId="3FF64A07" w14:textId="77777777" w:rsidTr="00502DFD">
        <w:trPr>
          <w:gridAfter w:val="1"/>
          <w:wAfter w:w="7" w:type="dxa"/>
          <w:trHeight w:val="117"/>
        </w:trPr>
        <w:tc>
          <w:tcPr>
            <w:tcW w:w="4253" w:type="dxa"/>
            <w:shd w:val="clear" w:color="auto" w:fill="FFFFFF"/>
            <w:vAlign w:val="center"/>
          </w:tcPr>
          <w:p w14:paraId="6E4B795C" w14:textId="77777777" w:rsidR="00502DFD" w:rsidRPr="00502DFD" w:rsidRDefault="00502DFD" w:rsidP="00502DFD">
            <w:pPr>
              <w:widowControl w:val="0"/>
              <w:spacing w:after="0"/>
              <w:ind w:right="-142" w:firstLine="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tykev s jedlou slupkou, okurka, patizon, cuketa</w:t>
            </w: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do 50 cm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607BBB7A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5D4174F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348ED8F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95" w:type="dxa"/>
            <w:shd w:val="clear" w:color="auto" w:fill="FFFFFF"/>
            <w:vAlign w:val="center"/>
          </w:tcPr>
          <w:p w14:paraId="67263619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502DFD" w:rsidRPr="00502DFD" w14:paraId="42E9624A" w14:textId="77777777" w:rsidTr="00502DFD">
        <w:trPr>
          <w:trHeight w:val="298"/>
        </w:trPr>
        <w:tc>
          <w:tcPr>
            <w:tcW w:w="9973" w:type="dxa"/>
            <w:gridSpan w:val="6"/>
            <w:shd w:val="clear" w:color="auto" w:fill="FFFFFF"/>
            <w:vAlign w:val="center"/>
          </w:tcPr>
          <w:p w14:paraId="6682CC6D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okraje ošetřovaného pozemku s ohledem na ochranu necílových členovců [m]</w:t>
            </w:r>
          </w:p>
        </w:tc>
      </w:tr>
      <w:tr w:rsidR="00502DFD" w:rsidRPr="00502DFD" w14:paraId="4515BF2F" w14:textId="77777777" w:rsidTr="00502DFD">
        <w:trPr>
          <w:gridAfter w:val="1"/>
          <w:wAfter w:w="7" w:type="dxa"/>
          <w:trHeight w:val="117"/>
        </w:trPr>
        <w:tc>
          <w:tcPr>
            <w:tcW w:w="4253" w:type="dxa"/>
            <w:shd w:val="clear" w:color="auto" w:fill="FFFFFF"/>
            <w:vAlign w:val="center"/>
          </w:tcPr>
          <w:p w14:paraId="0E6C91EB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tykev s jedlou slupkou, okurka, patizon, cuketa</w:t>
            </w: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do 50 cm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7626A07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2E6C2A2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29C58CC1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95" w:type="dxa"/>
            <w:shd w:val="clear" w:color="auto" w:fill="FFFFFF"/>
            <w:vAlign w:val="center"/>
          </w:tcPr>
          <w:p w14:paraId="1AB5A208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</w:tr>
      <w:tr w:rsidR="00502DFD" w:rsidRPr="00502DFD" w14:paraId="742CBF8B" w14:textId="77777777" w:rsidTr="00502DFD">
        <w:trPr>
          <w:gridAfter w:val="1"/>
          <w:wAfter w:w="7" w:type="dxa"/>
          <w:trHeight w:val="592"/>
        </w:trPr>
        <w:tc>
          <w:tcPr>
            <w:tcW w:w="4253" w:type="dxa"/>
            <w:shd w:val="clear" w:color="auto" w:fill="FFFFFF"/>
            <w:vAlign w:val="center"/>
          </w:tcPr>
          <w:p w14:paraId="6E544357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ředkvička, kedluben, rukola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31A85592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1E78A59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4AB336AC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95" w:type="dxa"/>
            <w:shd w:val="clear" w:color="auto" w:fill="FFFFFF"/>
            <w:vAlign w:val="center"/>
          </w:tcPr>
          <w:p w14:paraId="5845431E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73BD3C0B" w14:textId="77777777" w:rsidR="00502DFD" w:rsidRPr="00502DFD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3DB55846" w14:textId="77777777" w:rsidR="00502DFD" w:rsidRPr="00502DFD" w:rsidRDefault="00502DFD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Ředkvička, kedluben, rukola:</w:t>
      </w:r>
      <w:r w:rsidRPr="00502DFD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71084D05" w14:textId="77777777" w:rsidR="00502DFD" w:rsidRPr="00502DFD" w:rsidRDefault="00502DFD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hAnsi="Times New Roman"/>
          <w:sz w:val="24"/>
          <w:szCs w:val="24"/>
          <w:lang w:eastAsia="cs-CZ"/>
        </w:rPr>
        <w:t>SPe2: Za účelem ochrany vodních organismů neaplikujte na svažitých pozemcích (&gt; 3° svažitosti), jejichž okraje jsou vzdáleny od povrchových vod &lt; 18 m.</w:t>
      </w:r>
    </w:p>
    <w:p w14:paraId="667F9F9E" w14:textId="77777777" w:rsidR="00502DFD" w:rsidRPr="00502DFD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10"/>
          <w:szCs w:val="10"/>
          <w:u w:val="single"/>
          <w:lang w:eastAsia="cs-CZ"/>
        </w:rPr>
      </w:pPr>
    </w:p>
    <w:p w14:paraId="491B5254" w14:textId="77777777" w:rsidR="00502DFD" w:rsidRPr="00502DFD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Tykev s jedlou slupkou, okurka, patizon, cuketa</w:t>
      </w:r>
      <w:r w:rsidRPr="00502DFD">
        <w:rPr>
          <w:rFonts w:ascii="Times New Roman" w:hAnsi="Times New Roman"/>
          <w:sz w:val="24"/>
          <w:szCs w:val="24"/>
          <w:u w:val="single"/>
          <w:lang w:eastAsia="cs-CZ"/>
        </w:rPr>
        <w:t xml:space="preserve"> do 50 cm:</w:t>
      </w:r>
      <w:r w:rsidRPr="00502DFD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383249DE" w14:textId="77777777" w:rsidR="00502DFD" w:rsidRPr="002823AC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hAnsi="Times New Roman"/>
          <w:sz w:val="24"/>
          <w:szCs w:val="24"/>
          <w:lang w:eastAsia="cs-CZ"/>
        </w:rPr>
        <w:t>SPe2: Za účelem ochrany vodních organismů neaplikujte na svažitých pozemcích (&gt; 3° svažitosti), jejichž okraje jsou vzdáleny od povrchových vod &lt; 25 m.</w:t>
      </w:r>
    </w:p>
    <w:p w14:paraId="0F0FB683" w14:textId="77777777" w:rsidR="00032F2E" w:rsidRDefault="00032F2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2667CD48" w14:textId="77777777" w:rsidR="00032F2E" w:rsidRDefault="00032F2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032F2E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6C0534CF" w:rsidR="00FB6E38" w:rsidRPr="001F6556" w:rsidRDefault="00FB6E38" w:rsidP="00032F2E">
      <w:pPr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>
        <w:rPr>
          <w:rFonts w:ascii="Times New Roman" w:hAnsi="Times New Roman"/>
          <w:b/>
          <w:bCs/>
          <w:sz w:val="24"/>
          <w:szCs w:val="24"/>
        </w:rPr>
        <w:t>Karate Zeon</w:t>
      </w:r>
    </w:p>
    <w:p w14:paraId="73B11841" w14:textId="58BEC4D6" w:rsidR="00FB6E38" w:rsidRDefault="00FB6E38" w:rsidP="00032F2E">
      <w:pPr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>lambda-cyhalothrin 100 g/l</w:t>
      </w:r>
    </w:p>
    <w:p w14:paraId="6BFC7331" w14:textId="6E23FDAE" w:rsidR="00FB6E38" w:rsidRDefault="00FB6E38" w:rsidP="00032F2E">
      <w:pPr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suspenze kapsulí (CS)</w:t>
      </w:r>
    </w:p>
    <w:p w14:paraId="4EDC0920" w14:textId="7664CA98" w:rsidR="00FB6E38" w:rsidRPr="00032F2E" w:rsidRDefault="00FB6E38" w:rsidP="00032F2E">
      <w:pPr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>
        <w:rPr>
          <w:rFonts w:ascii="Times New Roman" w:hAnsi="Times New Roman"/>
          <w:snapToGrid w:val="0"/>
          <w:sz w:val="24"/>
          <w:szCs w:val="24"/>
        </w:rPr>
        <w:t>insekticid</w:t>
      </w:r>
    </w:p>
    <w:p w14:paraId="41EAC890" w14:textId="77777777" w:rsidR="00032F2E" w:rsidRDefault="00032F2E" w:rsidP="00032F2E">
      <w:pPr>
        <w:widowControl w:val="0"/>
        <w:tabs>
          <w:tab w:val="left" w:pos="709"/>
          <w:tab w:val="left" w:pos="8505"/>
        </w:tabs>
        <w:autoSpaceDE w:val="0"/>
        <w:autoSpaceDN w:val="0"/>
        <w:spacing w:after="0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13B99F66" w14:textId="77777777" w:rsidR="00032F2E" w:rsidRDefault="00032F2E" w:rsidP="00032F2E">
      <w:pPr>
        <w:widowControl w:val="0"/>
        <w:tabs>
          <w:tab w:val="left" w:pos="709"/>
          <w:tab w:val="left" w:pos="8505"/>
        </w:tabs>
        <w:autoSpaceDE w:val="0"/>
        <w:autoSpaceDN w:val="0"/>
        <w:spacing w:after="0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0B8C7822" w14:textId="77777777" w:rsidR="00032F2E" w:rsidRPr="00066906" w:rsidRDefault="00032F2E" w:rsidP="00032F2E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lastRenderedPageBreak/>
        <w:t>Označení podle nařízení (ES) č. 1272/2008, v platném znění:</w:t>
      </w:r>
    </w:p>
    <w:p w14:paraId="26E96F5E" w14:textId="77777777" w:rsidR="00032F2E" w:rsidRDefault="00032F2E" w:rsidP="00032F2E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 Německu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42592726" w14:textId="77777777" w:rsidR="00032F2E" w:rsidRPr="005D72D5" w:rsidRDefault="00032F2E" w:rsidP="00032F2E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113A576F" w14:textId="77777777" w:rsidR="00360D08" w:rsidRPr="00502DFD" w:rsidRDefault="00360D08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02DFD">
        <w:rPr>
          <w:rFonts w:ascii="Times New Roman" w:hAnsi="Times New Roman"/>
          <w:i/>
          <w:snapToGrid w:val="0"/>
          <w:sz w:val="24"/>
          <w:szCs w:val="24"/>
        </w:rPr>
        <w:t>Opatření k minimalizaci pravděpodobnosti vývoje rezistence dle přílohy I odst. 1 písm. l) nařízení Komise (EU) č. 547/2011:</w:t>
      </w:r>
    </w:p>
    <w:p w14:paraId="0638FBBE" w14:textId="3D73B22A" w:rsidR="00360D08" w:rsidRDefault="00360D08" w:rsidP="00032F2E">
      <w:pPr>
        <w:widowControl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>K zabránění vzniku rezistence neaplikujte tento přípravek nebo jiný, který obsahuje účinnou látku typu pyretroidu (např. lambda-cyhalothrin, deltamethrin, cypermethrin), po sobě bez přerušení ošetřením jiným insekticidem s odlišným mechanismem účinku.</w:t>
      </w:r>
    </w:p>
    <w:p w14:paraId="1A86CD00" w14:textId="77777777" w:rsidR="00417E26" w:rsidRPr="00032F2E" w:rsidRDefault="00417E26" w:rsidP="00032F2E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65D59643" w14:textId="77777777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bookmarkEnd w:id="0"/>
    <w:p w14:paraId="713BF3AF" w14:textId="77777777" w:rsidR="00032F2E" w:rsidRDefault="00032F2E" w:rsidP="00032F2E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032F2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Osoba používající přípravek je povinna vždy dodržet opatření uvedená v bodu 1) a dále se řídit standardními větami udávajícími bezpečnostní opatření, které jsou uvedeny na původní etiketě na obalu přípravku, schválené v Německu.</w:t>
      </w:r>
    </w:p>
    <w:p w14:paraId="46BDDDA9" w14:textId="77777777" w:rsidR="00032F2E" w:rsidRPr="00032F2E" w:rsidRDefault="00032F2E" w:rsidP="00032F2E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4DF282FF" w14:textId="77777777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77777777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4E6AC51A" w14:textId="77777777" w:rsidR="00D23E56" w:rsidRPr="00AB6CDA" w:rsidRDefault="00D23E56" w:rsidP="00D23E56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71184F62" w14:textId="77777777" w:rsidR="00D23E56" w:rsidRPr="00AB6CDA" w:rsidRDefault="00D23E56" w:rsidP="00D23E56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ii. Bezpečnostní opatření pro obsluhu</w:t>
      </w:r>
    </w:p>
    <w:p w14:paraId="4CAA53BE" w14:textId="40734760" w:rsidR="00D23E56" w:rsidRPr="00417E26" w:rsidRDefault="00D23E56" w:rsidP="00032F2E">
      <w:pPr>
        <w:widowControl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17E26">
        <w:rPr>
          <w:rFonts w:ascii="Times New Roman" w:eastAsia="Times New Roman" w:hAnsi="Times New Roman"/>
          <w:sz w:val="24"/>
          <w:szCs w:val="24"/>
          <w:lang w:eastAsia="cs-CZ"/>
        </w:rPr>
        <w:t>SPo5 Před opětovným vstupem ošetřené prostory důkladně vyvětrejte.</w:t>
      </w:r>
    </w:p>
    <w:p w14:paraId="58F98D5C" w14:textId="77777777" w:rsidR="00417E26" w:rsidRDefault="00417E26" w:rsidP="00D23E5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7650F9E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58BA81A5" w14:textId="77777777" w:rsidR="00032F2E" w:rsidRDefault="00032F2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D4B01AD" w14:textId="77777777" w:rsidR="00032F2E" w:rsidRPr="00275629" w:rsidRDefault="00032F2E" w:rsidP="00032F2E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618C1A9E" w14:textId="77777777" w:rsidR="00032F2E" w:rsidRDefault="00032F2E" w:rsidP="00032F2E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72D5">
        <w:rPr>
          <w:rFonts w:ascii="Times New Roman" w:hAnsi="Times New Roman"/>
          <w:sz w:val="24"/>
          <w:szCs w:val="24"/>
        </w:rPr>
        <w:t xml:space="preserve">Osoba používající přípravek je povinna se řídit informacemi o první pomoci a pokyny k použití ochranných prostředků, které jsou uvedeny na původní etiketě na obalu přípravku, schválené </w:t>
      </w:r>
      <w:r>
        <w:rPr>
          <w:rFonts w:ascii="Times New Roman" w:hAnsi="Times New Roman"/>
          <w:sz w:val="24"/>
          <w:szCs w:val="24"/>
        </w:rPr>
        <w:t>v Německu</w:t>
      </w:r>
      <w:r w:rsidRPr="005D72D5">
        <w:rPr>
          <w:rFonts w:ascii="Times New Roman" w:hAnsi="Times New Roman"/>
          <w:sz w:val="24"/>
          <w:szCs w:val="24"/>
        </w:rPr>
        <w:t>.</w:t>
      </w:r>
    </w:p>
    <w:p w14:paraId="4600F476" w14:textId="77777777" w:rsidR="00417E26" w:rsidRDefault="00417E26" w:rsidP="00EB620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E1B2947" w14:textId="0AB02778" w:rsidR="00C33BC4" w:rsidRPr="00502DFD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3BC4">
        <w:rPr>
          <w:rFonts w:ascii="Times New Roman" w:hAnsi="Times New Roman"/>
          <w:sz w:val="24"/>
          <w:szCs w:val="24"/>
        </w:rPr>
        <w:t xml:space="preserve">Přípravek </w:t>
      </w:r>
      <w:r w:rsidRPr="00502DFD">
        <w:rPr>
          <w:rFonts w:ascii="Times New Roman" w:hAnsi="Times New Roman"/>
          <w:sz w:val="24"/>
          <w:szCs w:val="24"/>
        </w:rPr>
        <w:t>neaplikujte v</w:t>
      </w:r>
      <w:r w:rsidR="00D95379" w:rsidRPr="00502DFD">
        <w:rPr>
          <w:rFonts w:ascii="Times New Roman" w:hAnsi="Times New Roman"/>
          <w:sz w:val="24"/>
          <w:szCs w:val="24"/>
        </w:rPr>
        <w:t xml:space="preserve"> chráněných</w:t>
      </w:r>
      <w:r w:rsidRPr="00502DFD">
        <w:rPr>
          <w:rFonts w:ascii="Times New Roman" w:hAnsi="Times New Roman"/>
          <w:sz w:val="24"/>
          <w:szCs w:val="24"/>
        </w:rPr>
        <w:t xml:space="preserve"> </w:t>
      </w:r>
      <w:r w:rsidR="00D95379" w:rsidRPr="00502DFD">
        <w:rPr>
          <w:rFonts w:ascii="Times New Roman" w:hAnsi="Times New Roman"/>
          <w:sz w:val="24"/>
          <w:szCs w:val="24"/>
        </w:rPr>
        <w:t>prostorách</w:t>
      </w:r>
      <w:r w:rsidRPr="00502DFD">
        <w:rPr>
          <w:rFonts w:ascii="Times New Roman" w:hAnsi="Times New Roman"/>
          <w:sz w:val="24"/>
          <w:szCs w:val="24"/>
        </w:rPr>
        <w:t>, kde je používána biologická ochrana.</w:t>
      </w:r>
    </w:p>
    <w:p w14:paraId="630B66AD" w14:textId="2F9EDF5B" w:rsidR="00C33BC4" w:rsidRPr="00C33BC4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02DFD">
        <w:rPr>
          <w:rFonts w:ascii="Times New Roman" w:hAnsi="Times New Roman"/>
          <w:sz w:val="24"/>
          <w:szCs w:val="24"/>
        </w:rPr>
        <w:t xml:space="preserve">Při použití </w:t>
      </w:r>
      <w:r w:rsidR="00D95379" w:rsidRPr="00502DFD">
        <w:rPr>
          <w:rFonts w:ascii="Times New Roman" w:hAnsi="Times New Roman"/>
          <w:sz w:val="24"/>
          <w:szCs w:val="24"/>
        </w:rPr>
        <w:t>v chráněných prostorách</w:t>
      </w:r>
      <w:r w:rsidR="00D95379" w:rsidRPr="00C33BC4">
        <w:rPr>
          <w:rFonts w:ascii="Times New Roman" w:hAnsi="Times New Roman"/>
          <w:sz w:val="24"/>
          <w:szCs w:val="24"/>
        </w:rPr>
        <w:t xml:space="preserve"> </w:t>
      </w:r>
      <w:r w:rsidRPr="00C33BC4">
        <w:rPr>
          <w:rFonts w:ascii="Times New Roman" w:hAnsi="Times New Roman"/>
          <w:sz w:val="24"/>
          <w:szCs w:val="24"/>
        </w:rPr>
        <w:t>s opylujícími čmeláky: Zabraňte expozici čmeláků zakrytím nebo odstraněním kolonií během aplikace.</w:t>
      </w:r>
    </w:p>
    <w:p w14:paraId="476EEB8A" w14:textId="77777777" w:rsidR="00C33BC4" w:rsidRPr="00C33BC4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3BC4">
        <w:rPr>
          <w:rFonts w:ascii="Times New Roman" w:hAnsi="Times New Roman"/>
          <w:sz w:val="24"/>
          <w:szCs w:val="24"/>
        </w:rPr>
        <w:t>Postřik provádějte jen za bezvětří nebo mírného vánku, ve směru po větru a od dalších osob.</w:t>
      </w:r>
    </w:p>
    <w:p w14:paraId="054EEE2B" w14:textId="36DE071A" w:rsidR="00C33BC4" w:rsidRPr="00C33BC4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3BC4">
        <w:rPr>
          <w:rFonts w:ascii="Times New Roman" w:hAnsi="Times New Roman"/>
          <w:sz w:val="24"/>
          <w:szCs w:val="24"/>
        </w:rPr>
        <w:t>Po ukončení práce opusťte ošetřované prostory! Vstup na ošetřeného pozemky/ do ošetřených prostor je možný nejdříve za 2 dny po aplikaci</w:t>
      </w:r>
      <w:r w:rsidR="00502DFD">
        <w:rPr>
          <w:rFonts w:ascii="Times New Roman" w:hAnsi="Times New Roman"/>
          <w:sz w:val="24"/>
          <w:szCs w:val="24"/>
        </w:rPr>
        <w:t>.</w:t>
      </w:r>
    </w:p>
    <w:p w14:paraId="32752815" w14:textId="4013A3B7" w:rsidR="00D21253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3BC4">
        <w:rPr>
          <w:rFonts w:ascii="Times New Roman" w:hAnsi="Times New Roman"/>
          <w:sz w:val="24"/>
          <w:szCs w:val="24"/>
        </w:rPr>
        <w:t>Při přípravě aplikační kapaliny ani při provádění postřiku nepoužívejte kontaktní čočky.</w:t>
      </w:r>
    </w:p>
    <w:p w14:paraId="3597BED0" w14:textId="77777777" w:rsidR="00417E26" w:rsidRDefault="00417E26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5B62964" w14:textId="77777777" w:rsidR="00285F29" w:rsidRPr="00455210" w:rsidRDefault="00285F2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797DCE54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Pr="0027696F">
        <w:rPr>
          <w:rFonts w:ascii="Times New Roman" w:hAnsi="Times New Roman"/>
          <w:sz w:val="24"/>
          <w:szCs w:val="24"/>
        </w:rPr>
        <w:t>3</w:t>
      </w:r>
      <w:r w:rsidR="00F53AF9">
        <w:rPr>
          <w:rFonts w:ascii="Times New Roman" w:hAnsi="Times New Roman"/>
          <w:sz w:val="24"/>
          <w:szCs w:val="24"/>
        </w:rPr>
        <w:t>0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F53AF9">
        <w:rPr>
          <w:rFonts w:ascii="Times New Roman" w:hAnsi="Times New Roman"/>
          <w:sz w:val="24"/>
          <w:szCs w:val="24"/>
        </w:rPr>
        <w:t>září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302497">
        <w:rPr>
          <w:rFonts w:ascii="Times New Roman" w:hAnsi="Times New Roman"/>
          <w:sz w:val="24"/>
          <w:szCs w:val="24"/>
        </w:rPr>
        <w:t>5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3929607E" w14:textId="77777777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210EF1D8" w:rsidR="00B91FD2" w:rsidRDefault="00D23E56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>
        <w:rPr>
          <w:rFonts w:ascii="Times New Roman" w:hAnsi="Times New Roman"/>
          <w:sz w:val="24"/>
          <w:szCs w:val="24"/>
        </w:rPr>
        <w:t>Karate Zeon</w:t>
      </w:r>
      <w:r w:rsidRPr="00EA5D92">
        <w:rPr>
          <w:rFonts w:ascii="Times New Roman" w:hAnsi="Times New Roman"/>
          <w:sz w:val="24"/>
          <w:szCs w:val="24"/>
        </w:rPr>
        <w:t xml:space="preserve">, který je povolen ve </w:t>
      </w:r>
      <w:r w:rsidR="00B91FD2">
        <w:rPr>
          <w:rFonts w:ascii="Times New Roman" w:hAnsi="Times New Roman"/>
          <w:sz w:val="24"/>
          <w:szCs w:val="24"/>
        </w:rPr>
        <w:t xml:space="preserve">Spolkové republice </w:t>
      </w:r>
      <w:r>
        <w:rPr>
          <w:rFonts w:ascii="Times New Roman" w:hAnsi="Times New Roman"/>
          <w:sz w:val="24"/>
          <w:szCs w:val="24"/>
        </w:rPr>
        <w:t>Německ</w:t>
      </w:r>
      <w:r w:rsidR="00B91FD2">
        <w:rPr>
          <w:rFonts w:ascii="Times New Roman" w:hAnsi="Times New Roman"/>
          <w:sz w:val="24"/>
          <w:szCs w:val="24"/>
        </w:rPr>
        <w:t>o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B91FD2" w:rsidRPr="00B91FD2">
        <w:rPr>
          <w:rFonts w:ascii="Times New Roman" w:hAnsi="Times New Roman"/>
          <w:sz w:val="24"/>
          <w:szCs w:val="24"/>
        </w:rPr>
        <w:t>ZA1 024675-00/00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D9537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560C1DC" w14:textId="5BE61B50" w:rsidR="00502DFD" w:rsidRDefault="00502DFD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Přípravek Karate Zeon se povoluje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 souladu s ust. § 38b vzájemným uznáváním ze Spolkové republiky Německo pouze pro vlastní potřebu</w:t>
      </w:r>
      <w:r w:rsidR="00417E2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7DF64F08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42E462" w14:textId="77777777" w:rsidR="00D95379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09D5571B" w:rsidR="00F5196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B5B7B" w14:textId="77777777" w:rsidR="00054FBD" w:rsidRPr="00455210" w:rsidRDefault="00054FB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032F2E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1135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2C80" w14:textId="77777777" w:rsidR="002522DC" w:rsidRDefault="002522DC" w:rsidP="00CE12AE">
      <w:pPr>
        <w:spacing w:after="0" w:line="240" w:lineRule="auto"/>
      </w:pPr>
      <w:r>
        <w:separator/>
      </w:r>
    </w:p>
  </w:endnote>
  <w:endnote w:type="continuationSeparator" w:id="0">
    <w:p w14:paraId="52DC25C7" w14:textId="77777777" w:rsidR="002522DC" w:rsidRDefault="002522D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CE37C" w14:textId="77777777" w:rsidR="002522DC" w:rsidRDefault="002522DC" w:rsidP="00CE12AE">
      <w:pPr>
        <w:spacing w:after="0" w:line="240" w:lineRule="auto"/>
      </w:pPr>
      <w:r>
        <w:separator/>
      </w:r>
    </w:p>
  </w:footnote>
  <w:footnote w:type="continuationSeparator" w:id="0">
    <w:p w14:paraId="27D772DA" w14:textId="77777777" w:rsidR="002522DC" w:rsidRDefault="002522D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240456228" name="Obrázek 1240456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3E07FAD4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F53AF9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2F2E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22DC"/>
    <w:rsid w:val="002534A6"/>
    <w:rsid w:val="00254C9F"/>
    <w:rsid w:val="00260FFC"/>
    <w:rsid w:val="00261814"/>
    <w:rsid w:val="0026683C"/>
    <w:rsid w:val="00271024"/>
    <w:rsid w:val="0027696F"/>
    <w:rsid w:val="00281645"/>
    <w:rsid w:val="002826F6"/>
    <w:rsid w:val="00284BFB"/>
    <w:rsid w:val="00285F29"/>
    <w:rsid w:val="00286C5D"/>
    <w:rsid w:val="002900BA"/>
    <w:rsid w:val="00297D87"/>
    <w:rsid w:val="002A011E"/>
    <w:rsid w:val="002A2373"/>
    <w:rsid w:val="002A3811"/>
    <w:rsid w:val="002A5C75"/>
    <w:rsid w:val="002A6401"/>
    <w:rsid w:val="002A642C"/>
    <w:rsid w:val="002A6E53"/>
    <w:rsid w:val="002B360A"/>
    <w:rsid w:val="002B62A6"/>
    <w:rsid w:val="002C3001"/>
    <w:rsid w:val="002D1505"/>
    <w:rsid w:val="002E09B3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02497"/>
    <w:rsid w:val="003107E6"/>
    <w:rsid w:val="00321597"/>
    <w:rsid w:val="0032449D"/>
    <w:rsid w:val="00350A69"/>
    <w:rsid w:val="00353D1E"/>
    <w:rsid w:val="003552E5"/>
    <w:rsid w:val="00355DD5"/>
    <w:rsid w:val="00360D08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2455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2419"/>
    <w:rsid w:val="00463C37"/>
    <w:rsid w:val="00465120"/>
    <w:rsid w:val="00466FF4"/>
    <w:rsid w:val="00475359"/>
    <w:rsid w:val="0048376B"/>
    <w:rsid w:val="0048530D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51D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3519"/>
    <w:rsid w:val="00646029"/>
    <w:rsid w:val="006475EA"/>
    <w:rsid w:val="00660EF5"/>
    <w:rsid w:val="006649A6"/>
    <w:rsid w:val="00664C5E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0FDE"/>
    <w:rsid w:val="007329F9"/>
    <w:rsid w:val="00736FAD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1B85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4E37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84D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02CC"/>
    <w:rsid w:val="00AF1532"/>
    <w:rsid w:val="00AF4FB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07272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03CFC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3AF9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941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2021-03-11T06:06:00Z</cp:lastPrinted>
  <dcterms:created xsi:type="dcterms:W3CDTF">2025-03-19T06:53:00Z</dcterms:created>
  <dcterms:modified xsi:type="dcterms:W3CDTF">2025-03-19T07:22:00Z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