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OBEC OTOVICE</w:t>
      </w:r>
    </w:p>
    <w:p>
      <w:pPr>
        <w:pStyle w:val="Normal"/>
        <w:spacing w:lineRule="auto" w:line="312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bCs/>
        </w:rPr>
        <w:t>Obecně závazná vyhláška č. 2/2015,</w:t>
      </w:r>
    </w:p>
    <w:p>
      <w:pPr>
        <w:pStyle w:val="Zkladntextodsazen21"/>
        <w:spacing w:lineRule="auto" w:line="312" w:before="0" w:after="360"/>
        <w:ind w:left="0" w:right="0" w:hanging="0"/>
        <w:jc w:val="center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 zákazu provozování některých sázkových her, loterií a jiných podobných her</w:t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  <w:t xml:space="preserve">Zastupitelstvo </w:t>
      </w:r>
      <w:r>
        <w:rPr>
          <w:rFonts w:cs="Arial" w:ascii="Arial" w:hAnsi="Arial"/>
          <w:bCs w:val="false"/>
          <w:sz w:val="22"/>
          <w:szCs w:val="22"/>
          <w:shd w:fill="auto" w:val="clear"/>
        </w:rPr>
        <w:t>obce Otovice</w:t>
      </w:r>
      <w:r>
        <w:rPr>
          <w:rFonts w:cs="Arial" w:ascii="Arial" w:hAnsi="Arial"/>
          <w:bCs w:val="false"/>
          <w:sz w:val="22"/>
          <w:szCs w:val="22"/>
        </w:rPr>
        <w:t xml:space="preserve"> se na svém zasedání dne 15. 4. 2015, usnesením č. 1</w:t>
      </w:r>
      <w:r>
        <w:rPr>
          <w:rFonts w:cs="Arial" w:ascii="Arial" w:hAnsi="Arial"/>
          <w:bCs w:val="false"/>
          <w:sz w:val="22"/>
          <w:szCs w:val="22"/>
          <w:shd w:fill="auto" w:val="clear"/>
        </w:rPr>
        <w:t>5/2015</w:t>
      </w:r>
      <w:r>
        <w:rPr>
          <w:rFonts w:cs="Arial" w:ascii="Arial" w:hAnsi="Arial"/>
          <w:bCs w:val="false"/>
          <w:sz w:val="22"/>
          <w:szCs w:val="22"/>
        </w:rPr>
        <w:t xml:space="preserve"> usneslo vydat, na základě zmocnění § 50 odst. 4 zákona č. 202/1990 Sb., o loteriích a jiných podobných hrách, ve znění pozdějších předpisů (dále jen „loterní zákon“), v 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</w:r>
    </w:p>
    <w:p>
      <w:pPr>
        <w:pStyle w:val="Zkladntextodsazen21"/>
        <w:ind w:left="0" w:right="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Zkladntextodsazen21"/>
        <w:ind w:left="0" w:right="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Zákaz provozování některých sázkových her, loteriích a jiných podobných her</w:t>
      </w:r>
    </w:p>
    <w:p>
      <w:pPr>
        <w:pStyle w:val="Zkladntextodsazen21"/>
        <w:ind w:left="0" w:right="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  <w:t>Na území obce Otovice se zakazuje provozování:</w:t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  <w:t>a) sázkových her podle § 2 písm. e), g), i), l), m) a n) loterního zákona,</w:t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  <w:t>b) loterií a jiných podobných her podle § 2 písm. j) loterního zákona,</w:t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  <w:t>c) loterií a jiných podobných her podle § 50 odst. 3 loterního zákona.</w:t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</w:r>
    </w:p>
    <w:p>
      <w:pPr>
        <w:pStyle w:val="Zkladntextodsazen21"/>
        <w:ind w:left="0" w:right="0" w:hanging="0"/>
        <w:jc w:val="center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</w:r>
    </w:p>
    <w:p>
      <w:pPr>
        <w:pStyle w:val="Zkladntextodsazen21"/>
        <w:ind w:left="0" w:right="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Zkladntextodsazen21"/>
        <w:ind w:left="0" w:right="0" w:hanging="0"/>
        <w:jc w:val="center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Účinnost</w:t>
      </w:r>
    </w:p>
    <w:p>
      <w:pPr>
        <w:pStyle w:val="Zkladntextodsazen21"/>
        <w:ind w:left="0" w:right="0" w:hanging="0"/>
        <w:jc w:val="center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  <w:t>Tato vyhláška nabývá účinnosti patnáctým dnem po jejím vyhlášení.</w:t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2"/>
          <w:szCs w:val="22"/>
        </w:rPr>
      </w:pPr>
      <w:r>
        <w:rPr>
          <w:rFonts w:cs="Arial" w:ascii="Arial" w:hAnsi="Arial"/>
          <w:bCs w:val="false"/>
          <w:sz w:val="22"/>
          <w:szCs w:val="22"/>
        </w:rPr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Tlotextu"/>
        <w:tabs>
          <w:tab w:val="clear" w:pos="708"/>
          <w:tab w:val="left" w:pos="108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starosta Petr Novák v. r.</w:t>
        <w:tab/>
        <w:tab/>
        <w:tab/>
        <w:tab/>
        <w:tab/>
        <w:t>místostarosta Josef Barvíř v. 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Vyvěšeno na úřední desce a el. úřední desce dne: 20. 4. 2015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jc w:val="both"/>
        <w:rPr>
          <w:rFonts w:ascii="Arial" w:hAnsi="Arial" w:cs="Arial"/>
          <w:bCs w:val="false"/>
          <w:sz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Sejmuto z úřední desky dne:  </w:t>
      </w:r>
      <w:r>
        <w:rPr>
          <w:rFonts w:cs="Arial" w:ascii="Arial" w:hAnsi="Arial"/>
          <w:bCs w:val="false"/>
          <w:i/>
          <w:iCs/>
          <w:sz w:val="20"/>
          <w:szCs w:val="20"/>
        </w:rPr>
        <w:t>6. 5. 2015</w:t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0"/>
        </w:rPr>
      </w:pPr>
      <w:r>
        <w:rPr>
          <w:rFonts w:cs="Arial" w:ascii="Arial" w:hAnsi="Arial"/>
          <w:bCs w:val="false"/>
          <w:sz w:val="20"/>
        </w:rPr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0"/>
        </w:rPr>
      </w:pPr>
      <w:r>
        <w:rPr>
          <w:rFonts w:cs="Arial" w:ascii="Arial" w:hAnsi="Arial"/>
          <w:bCs w:val="false"/>
          <w:sz w:val="20"/>
        </w:rPr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0"/>
        </w:rPr>
      </w:pPr>
      <w:r>
        <w:rPr>
          <w:rFonts w:cs="Arial" w:ascii="Arial" w:hAnsi="Arial"/>
          <w:bCs w:val="false"/>
          <w:sz w:val="20"/>
        </w:rPr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0"/>
        </w:rPr>
      </w:pPr>
      <w:r>
        <w:rPr>
          <w:rFonts w:cs="Arial" w:ascii="Arial" w:hAnsi="Arial"/>
          <w:bCs w:val="false"/>
          <w:sz w:val="20"/>
        </w:rPr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0"/>
        </w:rPr>
      </w:pPr>
      <w:r>
        <w:rPr>
          <w:rFonts w:cs="Arial" w:ascii="Arial" w:hAnsi="Arial"/>
          <w:bCs w:val="false"/>
          <w:sz w:val="20"/>
        </w:rPr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0"/>
        </w:rPr>
      </w:pPr>
      <w:r>
        <w:rPr>
          <w:rFonts w:cs="Arial" w:ascii="Arial" w:hAnsi="Arial"/>
          <w:bCs w:val="false"/>
          <w:sz w:val="20"/>
        </w:rPr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0"/>
        </w:rPr>
      </w:pPr>
      <w:r>
        <w:rPr>
          <w:rFonts w:cs="Arial" w:ascii="Arial" w:hAnsi="Arial"/>
          <w:bCs w:val="false"/>
          <w:sz w:val="20"/>
        </w:rPr>
        <w:t>______________________</w:t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0"/>
        </w:rPr>
      </w:pPr>
      <w:r>
        <w:rPr>
          <w:rFonts w:cs="Arial" w:ascii="Arial" w:hAnsi="Arial"/>
          <w:bCs w:val="false"/>
          <w:sz w:val="20"/>
        </w:rPr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0"/>
        </w:rPr>
      </w:pPr>
      <w:r>
        <w:rPr>
          <w:rFonts w:cs="Arial" w:ascii="Arial" w:hAnsi="Arial"/>
          <w:bCs w:val="false"/>
          <w:sz w:val="20"/>
        </w:rPr>
        <w:t>1) výherní hrací přístroj je obecně definován v ust. § 2 odst. 1 písm. e), konkrétně potom v § 17 odst. 1 loterního zákona</w:t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0"/>
        </w:rPr>
      </w:pPr>
      <w:r>
        <w:rPr>
          <w:rFonts w:cs="Arial" w:ascii="Arial" w:hAnsi="Arial"/>
          <w:bCs w:val="false"/>
          <w:sz w:val="20"/>
        </w:rPr>
        <w:t>2) interaktivní videoloterní terminál je zároveň výherním hracím přístrojem, definován je v § 2, odst. 1, písm. l) loterního zákona</w:t>
      </w:r>
    </w:p>
    <w:p>
      <w:pPr>
        <w:pStyle w:val="Zkladntextodsazen21"/>
        <w:ind w:left="0" w:right="0" w:hanging="0"/>
        <w:rPr>
          <w:rFonts w:ascii="Arial" w:hAnsi="Arial" w:cs="Arial"/>
          <w:bCs w:val="false"/>
          <w:sz w:val="20"/>
        </w:rPr>
      </w:pPr>
      <w:r>
        <w:rPr>
          <w:rFonts w:cs="Arial" w:ascii="Arial" w:hAnsi="Arial"/>
          <w:bCs w:val="false"/>
          <w:sz w:val="20"/>
        </w:rPr>
        <w:t>3) provozováním jiného technického zařízení se pro účely této vyhlášky rozumí provozování sázkové hry definované v § 2 odst. 1, písm. i) loterního zákona</w:t>
      </w:r>
    </w:p>
    <w:sectPr>
      <w:type w:val="nextPage"/>
      <w:pgSz w:w="11906" w:h="16838"/>
      <w:pgMar w:left="1417" w:right="1417" w:gutter="0" w:header="0" w:top="1212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andardnpsmoodstavce">
    <w:name w:val="Standardní písmo odstavce"/>
    <w:qFormat/>
    <w:rPr/>
  </w:style>
  <w:style w:type="character" w:styleId="WW8Num4z0">
    <w:name w:val="WW8Num4z0"/>
    <w:qFormat/>
    <w:rPr>
      <w:rFonts w:ascii="Times New Roman" w:hAnsi="Times New Roman" w:cs="Times New Roman"/>
      <w:b w:val="false"/>
      <w:bCs/>
      <w:i w:val="false"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cs="Times New Roman"/>
      <w:b w:val="false"/>
      <w:i w:val="false"/>
      <w:strike w:val="false"/>
      <w:dstrike w:val="false"/>
      <w:shadow w:val="false"/>
      <w:position w:val="0"/>
      <w:sz w:val="24"/>
      <w:sz w:val="24"/>
      <w:szCs w:val="24"/>
      <w:vertAlign w:val="baseline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8z0">
    <w:name w:val="WW8Num8z0"/>
    <w:qFormat/>
    <w:rPr>
      <w:rFonts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9z0">
    <w:name w:val="WW8Num9z0"/>
    <w:qFormat/>
    <w:rPr>
      <w:rFonts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0z0">
    <w:name w:val="WW8Num10z0"/>
    <w:qFormat/>
    <w:rPr>
      <w:rFonts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1z0">
    <w:name w:val="WW8Num11z0"/>
    <w:qFormat/>
    <w:rPr>
      <w:rFonts w:ascii="Arial" w:hAnsi="Arial" w:cs="Arial"/>
      <w:sz w:val="22"/>
      <w:szCs w:val="22"/>
    </w:rPr>
  </w:style>
  <w:style w:type="character" w:styleId="WW8Num12z0">
    <w:name w:val="WW8Num12z0"/>
    <w:qFormat/>
    <w:rPr>
      <w:rFonts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WW8Num13z0">
    <w:name w:val="WW8Num13z0"/>
    <w:qFormat/>
    <w:rPr>
      <w:rFonts w:cs="Arial"/>
      <w:b w:val="false"/>
      <w:i w:val="false"/>
      <w:strike w:val="false"/>
      <w:dstrike w:val="false"/>
      <w:shadow w:val="false"/>
      <w:position w:val="0"/>
      <w:sz w:val="24"/>
      <w:sz w:val="24"/>
      <w:vertAlign w:val="baseline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Standardnpsmoodstavce1">
    <w:name w:val="Standardní písmo odstavce1"/>
    <w:qFormat/>
    <w:rPr/>
  </w:style>
  <w:style w:type="character" w:styleId="CharChar4">
    <w:name w:val=" Char Char4"/>
    <w:basedOn w:val="Standardnpsmoodstavce1"/>
    <w:qFormat/>
    <w:rPr>
      <w:sz w:val="24"/>
      <w:szCs w:val="24"/>
      <w:u w:val="single"/>
      <w:lang w:val="cs-CZ" w:bidi="ar-SA"/>
    </w:rPr>
  </w:style>
  <w:style w:type="character" w:styleId="CharChar3">
    <w:name w:val=" Char Char3"/>
    <w:basedOn w:val="Standardnpsmoodstavce1"/>
    <w:qFormat/>
    <w:rPr>
      <w:sz w:val="24"/>
      <w:szCs w:val="24"/>
      <w:lang w:val="cs-CZ" w:bidi="ar-SA"/>
    </w:rPr>
  </w:style>
  <w:style w:type="character" w:styleId="CharChar2">
    <w:name w:val=" Char Char2"/>
    <w:basedOn w:val="Standardnpsmoodstavce1"/>
    <w:qFormat/>
    <w:rPr>
      <w:sz w:val="24"/>
      <w:szCs w:val="24"/>
      <w:lang w:val="cs-CZ" w:bidi="ar-SA"/>
    </w:rPr>
  </w:style>
  <w:style w:type="character" w:styleId="CharChar1">
    <w:name w:val=" Char Char1"/>
    <w:basedOn w:val="Standardnpsmoodstavce1"/>
    <w:qFormat/>
    <w:rPr>
      <w:sz w:val="24"/>
      <w:szCs w:val="24"/>
      <w:lang w:val="cs-CZ" w:bidi="ar-SA"/>
    </w:rPr>
  </w:style>
  <w:style w:type="character" w:styleId="CharChar">
    <w:name w:val=" Char Char"/>
    <w:basedOn w:val="Standardnpsmoodstavce1"/>
    <w:qFormat/>
    <w:rPr>
      <w:lang w:val="cs-CZ" w:eastAsia="cs-CZ" w:bidi="ar-SA"/>
    </w:rPr>
  </w:style>
  <w:style w:type="character" w:styleId="Znakypropoznmkupodarou">
    <w:name w:val="Znaky pro poznámku pod čarou"/>
    <w:basedOn w:val="Standardnpsmoodstavce1"/>
    <w:qFormat/>
    <w:rPr>
      <w:vertAlign w:val="superscript"/>
    </w:rPr>
  </w:style>
  <w:style w:type="character" w:styleId="Znakapoznpodarou">
    <w:name w:val="Značka pozn. pod čarou"/>
    <w:qFormat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WWZnakyprovysvtlivky">
    <w:name w:val="WW-Znaky pro vysvětlivky"/>
    <w:qFormat/>
    <w:rPr/>
  </w:style>
  <w:style w:type="character" w:styleId="Odkaznavysvtlivky">
    <w:name w:val="Odkaz na vysvětlivky"/>
    <w:qFormat/>
    <w:rPr>
      <w:vertAlign w:val="superscript"/>
    </w:rPr>
  </w:style>
  <w:style w:type="character" w:styleId="Odrky">
    <w:name w:val="Odrážky"/>
    <w:qFormat/>
    <w:rPr>
      <w:rFonts w:ascii="OpenSymbol;Arial Unicode MS" w:hAnsi="OpenSymbol;Arial Unicode MS" w:eastAsia="OpenSymbol;Arial Unicode MS" w:cs="OpenSymbol;Arial Unicode MS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Tahoma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Tahoma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Odsazentlatextu">
    <w:name w:val="Body Text Indent"/>
    <w:basedOn w:val="Normal"/>
    <w:pPr>
      <w:ind w:left="708" w:right="0" w:firstLine="357"/>
      <w:jc w:val="both"/>
    </w:pPr>
    <w:rPr/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pPr/>
    <w:rPr>
      <w:sz w:val="20"/>
      <w:szCs w:val="20"/>
      <w:lang w:val="cs-CZ" w:eastAsia="cs-CZ"/>
    </w:rPr>
  </w:style>
  <w:style w:type="paragraph" w:styleId="Nzev">
    <w:name w:val="Title"/>
    <w:basedOn w:val="Normal"/>
    <w:next w:val="Podtitul"/>
    <w:qFormat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Podtitul">
    <w:name w:val="Subtitle"/>
    <w:basedOn w:val="Nadpis"/>
    <w:next w:val="Tlotextu"/>
    <w:qFormat/>
    <w:pPr>
      <w:jc w:val="center"/>
    </w:pPr>
    <w:rPr>
      <w:i/>
      <w:iCs/>
      <w:sz w:val="28"/>
      <w:szCs w:val="28"/>
    </w:rPr>
  </w:style>
  <w:style w:type="paragraph" w:styleId="Nzevzkona">
    <w:name w:val="název zákona"/>
    <w:basedOn w:val="Nzev"/>
    <w:qFormat/>
    <w:pPr/>
    <w:rPr>
      <w:rFonts w:ascii="Cambria" w:hAnsi="Cambria" w:cs="Cambria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>
    <w:name w:val="Názvy článků"/>
    <w:basedOn w:val="Slalnk"/>
    <w:qFormat/>
    <w:pPr>
      <w:spacing w:before="60" w:after="160"/>
    </w:pPr>
    <w:rPr/>
  </w:style>
  <w:style w:type="paragraph" w:styleId="Oddstavcevlncch">
    <w:name w:val="Oddstavce v článcích"/>
    <w:basedOn w:val="Normal"/>
    <w:next w:val="Normal"/>
    <w:qFormat/>
    <w:pPr>
      <w:keepLines/>
      <w:numPr>
        <w:ilvl w:val="0"/>
        <w:numId w:val="2"/>
      </w:numPr>
      <w:spacing w:before="0" w:after="60"/>
      <w:jc w:val="both"/>
    </w:pPr>
    <w:rPr/>
  </w:style>
  <w:style w:type="paragraph" w:styleId="Zkladntextodsazen21">
    <w:name w:val="Základní text odsazený 21"/>
    <w:basedOn w:val="Normal"/>
    <w:qFormat/>
    <w:pPr>
      <w:ind w:left="708" w:right="0" w:firstLine="360"/>
      <w:jc w:val="both"/>
    </w:pPr>
    <w:rPr>
      <w:bCs/>
      <w:szCs w:val="20"/>
    </w:rPr>
  </w:style>
  <w:style w:type="paragraph" w:styleId="Odstavecseseznamem">
    <w:name w:val="Odstavec se seznamem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NormlnIMP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LibreOffice/7.2.6.2$Windows_X86_64 LibreOffice_project/b0ec3a565991f7569a5a7f5d24fed7f52653d754</Application>
  <AppVersion>15.0000</AppVersion>
  <Pages>1</Pages>
  <Words>264</Words>
  <Characters>1316</Characters>
  <CharactersWithSpaces>1569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2015-04-10T09:18:00Z</dcterms:created>
  <dc:creator>Žemlová Hana, JUDr.</dc:creator>
  <dc:description/>
  <dc:language>cs-CZ</dc:language>
  <cp:lastModifiedBy/>
  <cp:lastPrinted>2015-04-17T09:12:00Z</cp:lastPrinted>
  <dcterms:modified xsi:type="dcterms:W3CDTF">2024-11-21T08:54:16Z</dcterms:modified>
  <cp:revision>7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958827302</vt:i4>
  </property>
  <property fmtid="{D5CDD505-2E9C-101B-9397-08002B2CF9AE}" pid="3" name="_AuthorEmail">
    <vt:lpwstr>mtrsova@mvcr.cz</vt:lpwstr>
  </property>
  <property fmtid="{D5CDD505-2E9C-101B-9397-08002B2CF9AE}" pid="4" name="_AuthorEmailDisplayName">
    <vt:lpwstr>Markéta Trsová</vt:lpwstr>
  </property>
  <property fmtid="{D5CDD505-2E9C-101B-9397-08002B2CF9AE}" pid="5" name="_EmailSubject">
    <vt:lpwstr>změna internetových stránek ODK č. 6</vt:lpwstr>
  </property>
  <property fmtid="{D5CDD505-2E9C-101B-9397-08002B2CF9AE}" pid="6" name="_ReviewingToolsShownOnce">
    <vt:lpwstr/>
  </property>
</Properties>
</file>