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2774" w:right="2932"/>
        <w:rPr>
          <w:rFonts w:ascii="Times New Roman" w:eastAsia="Times New Roman" w:hAnsi="Times New Roman" w:cs="Times New Roman"/>
          <w:color w:val="202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02000"/>
          <w:sz w:val="26"/>
          <w:szCs w:val="26"/>
        </w:rPr>
        <w:t xml:space="preserve">OBEC MIKULOVICE </w:t>
      </w:r>
    </w:p>
    <w:p w14:paraId="00000002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ind w:left="1310" w:right="1473"/>
        <w:rPr>
          <w:rFonts w:ascii="Times New Roman" w:eastAsia="Times New Roman" w:hAnsi="Times New Roman" w:cs="Times New Roman"/>
          <w:b/>
          <w:color w:val="1D1D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D1D00"/>
          <w:sz w:val="32"/>
          <w:szCs w:val="32"/>
        </w:rPr>
        <w:t xml:space="preserve">OBECNĚ ZÁVAZNÁ VYHLÁŠKA </w:t>
      </w:r>
      <w:r>
        <w:rPr>
          <w:b/>
          <w:color w:val="1D1D00"/>
          <w:sz w:val="32"/>
          <w:szCs w:val="32"/>
        </w:rPr>
        <w:t>Č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32"/>
          <w:szCs w:val="32"/>
        </w:rPr>
        <w:t xml:space="preserve">1/2009 </w:t>
      </w:r>
    </w:p>
    <w:p w14:paraId="00000003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998" w:right="446"/>
        <w:rPr>
          <w:rFonts w:ascii="Times New Roman" w:eastAsia="Times New Roman" w:hAnsi="Times New Roman" w:cs="Times New Roman"/>
          <w:b/>
          <w:color w:val="1D1D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D1D00"/>
          <w:sz w:val="30"/>
          <w:szCs w:val="30"/>
        </w:rPr>
        <w:t xml:space="preserve">o stanovení koeficientu pro výpočet daně </w:t>
      </w:r>
      <w:r>
        <w:rPr>
          <w:b/>
          <w:color w:val="1D1D00"/>
          <w:sz w:val="30"/>
          <w:szCs w:val="30"/>
        </w:rPr>
        <w:t xml:space="preserve">z </w:t>
      </w:r>
      <w:r>
        <w:rPr>
          <w:rFonts w:ascii="Times New Roman" w:eastAsia="Times New Roman" w:hAnsi="Times New Roman" w:cs="Times New Roman"/>
          <w:b/>
          <w:color w:val="1D1D00"/>
          <w:sz w:val="30"/>
          <w:szCs w:val="30"/>
        </w:rPr>
        <w:t xml:space="preserve">nemovitostí </w:t>
      </w:r>
    </w:p>
    <w:p w14:paraId="00000004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-95" w:right="278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Zastupitelstvo obce Mikulovice se na svém zasedání dne </w:t>
      </w:r>
      <w:proofErr w:type="gramStart"/>
      <w:r>
        <w:rPr>
          <w:color w:val="1D1D00"/>
          <w:sz w:val="26"/>
          <w:szCs w:val="26"/>
        </w:rPr>
        <w:t>16.6.2009</w:t>
      </w:r>
      <w:proofErr w:type="gramEnd"/>
      <w:r>
        <w:rPr>
          <w:color w:val="1D1D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usnesením č.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64/16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bod č. 57 usneslo vydat na základě § 6 odst</w:t>
      </w:r>
      <w:r>
        <w:rPr>
          <w:color w:val="1D1D00"/>
          <w:sz w:val="26"/>
          <w:szCs w:val="26"/>
        </w:rPr>
        <w:t xml:space="preserve">. 4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písm. b), § 11 odst. 3 </w:t>
      </w:r>
      <w:r>
        <w:rPr>
          <w:color w:val="1D1D00"/>
          <w:sz w:val="24"/>
          <w:szCs w:val="24"/>
        </w:rPr>
        <w:t xml:space="preserve">písm. a)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a b) zákona č. 338/1992 </w:t>
      </w:r>
      <w:r>
        <w:rPr>
          <w:color w:val="1D1D00"/>
          <w:sz w:val="24"/>
          <w:szCs w:val="24"/>
        </w:rPr>
        <w:t xml:space="preserve">Sb., o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dani z nemovitostí, ve znění pozdějších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předpisů, </w:t>
      </w:r>
      <w:r>
        <w:rPr>
          <w:color w:val="1D1D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§ 84 odst. 2 písm</w:t>
      </w:r>
      <w:r>
        <w:rPr>
          <w:color w:val="1D1D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h) zákona 128/2000 </w:t>
      </w:r>
      <w:r>
        <w:rPr>
          <w:rFonts w:ascii="Times New Roman" w:eastAsia="Times New Roman" w:hAnsi="Times New Roman" w:cs="Times New Roman"/>
          <w:b/>
          <w:color w:val="1D1D00"/>
          <w:sz w:val="28"/>
          <w:szCs w:val="28"/>
        </w:rPr>
        <w:t>Sb</w:t>
      </w:r>
      <w:r>
        <w:rPr>
          <w:color w:val="1D1D00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o obcích (obecní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zřízení)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, </w:t>
      </w:r>
      <w:r>
        <w:rPr>
          <w:color w:val="1D1D00"/>
          <w:sz w:val="26"/>
          <w:szCs w:val="26"/>
        </w:rPr>
        <w:t xml:space="preserve">ve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znění pozdějších předpisů, tuto obecně závaznou vyhlášku</w:t>
      </w:r>
      <w:r>
        <w:rPr>
          <w:color w:val="1D1D00"/>
          <w:sz w:val="26"/>
          <w:szCs w:val="26"/>
        </w:rPr>
        <w:t xml:space="preserve">: </w:t>
      </w:r>
    </w:p>
    <w:p w14:paraId="00000005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3902" w:right="4075"/>
        <w:jc w:val="center"/>
        <w:rPr>
          <w:rFonts w:ascii="Times New Roman" w:eastAsia="Times New Roman" w:hAnsi="Times New Roman" w:cs="Times New Roman"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color w:val="000000"/>
          <w:sz w:val="26"/>
          <w:szCs w:val="26"/>
        </w:rPr>
        <w:t xml:space="preserve">. </w:t>
      </w:r>
      <w:r>
        <w:rPr>
          <w:color w:val="1D1D00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Pozemky </w:t>
      </w:r>
    </w:p>
    <w:p w14:paraId="00000006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-95" w:right="192"/>
        <w:rPr>
          <w:color w:val="1D1D00"/>
          <w:sz w:val="20"/>
          <w:szCs w:val="20"/>
        </w:rPr>
      </w:pPr>
      <w:r>
        <w:rPr>
          <w:color w:val="1D1D00"/>
          <w:sz w:val="26"/>
          <w:szCs w:val="26"/>
        </w:rPr>
        <w:t xml:space="preserve">U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stavebních pozemků se stanovuje koeficient, kterým se násobí základní sazba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daně následovně</w:t>
      </w:r>
      <w:r>
        <w:rPr>
          <w:color w:val="1D1D00"/>
          <w:sz w:val="20"/>
          <w:szCs w:val="20"/>
        </w:rPr>
        <w:t xml:space="preserve">: </w:t>
      </w:r>
    </w:p>
    <w:p w14:paraId="00000007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-81" w:right="5668"/>
        <w:rPr>
          <w:rFonts w:ascii="Times New Roman" w:eastAsia="Times New Roman" w:hAnsi="Times New Roman" w:cs="Times New Roman"/>
          <w:color w:val="1D1D00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- v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k.ú</w:t>
      </w:r>
      <w:proofErr w:type="spell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Kolnovice</w:t>
      </w:r>
      <w:proofErr w:type="spell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ve výši 1 </w:t>
      </w:r>
    </w:p>
    <w:p w14:paraId="00000008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86" w:right="3139"/>
        <w:rPr>
          <w:rFonts w:ascii="Times New Roman" w:eastAsia="Times New Roman" w:hAnsi="Times New Roman" w:cs="Times New Roman"/>
          <w:b/>
          <w:color w:val="1D1D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v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k.ú</w:t>
      </w:r>
      <w:proofErr w:type="spell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 Mikulovice 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k.ú</w:t>
      </w:r>
      <w:proofErr w:type="spell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 Široký Brod </w:t>
      </w:r>
      <w:r>
        <w:rPr>
          <w:rFonts w:ascii="Times New Roman" w:eastAsia="Times New Roman" w:hAnsi="Times New Roman" w:cs="Times New Roman"/>
          <w:color w:val="FEFE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ve výši </w:t>
      </w:r>
      <w:r>
        <w:rPr>
          <w:rFonts w:ascii="Times New Roman" w:eastAsia="Times New Roman" w:hAnsi="Times New Roman" w:cs="Times New Roman"/>
          <w:b/>
          <w:color w:val="1D1D00"/>
          <w:sz w:val="28"/>
          <w:szCs w:val="28"/>
        </w:rPr>
        <w:t xml:space="preserve">1,4 </w:t>
      </w:r>
    </w:p>
    <w:p w14:paraId="00000009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4041" w:right="4200"/>
        <w:jc w:val="center"/>
        <w:rPr>
          <w:rFonts w:ascii="Times New Roman" w:eastAsia="Times New Roman" w:hAnsi="Times New Roman" w:cs="Times New Roman"/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Stavby </w:t>
      </w:r>
    </w:p>
    <w:p w14:paraId="0000000A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-100" w:right="259" w:firstLine="124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1) U staveb </w:t>
      </w:r>
      <w:r>
        <w:rPr>
          <w:color w:val="1D1D00"/>
          <w:sz w:val="26"/>
          <w:szCs w:val="26"/>
        </w:rPr>
        <w:t xml:space="preserve">dle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§ 11 odst. </w:t>
      </w:r>
      <w:r>
        <w:rPr>
          <w:color w:val="1D1D00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písm</w:t>
      </w:r>
      <w:r>
        <w:rPr>
          <w:color w:val="1D1D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a) zákona č</w:t>
      </w:r>
      <w:r>
        <w:rPr>
          <w:color w:val="1D1D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338/1992 </w:t>
      </w:r>
      <w:proofErr w:type="gramStart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Sb., ( obytné</w:t>
      </w:r>
      <w:proofErr w:type="gramEnd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 domy a ostatní stavby tvořící příslušenství k obytným domům z výměry přesahující 16 </w:t>
      </w:r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>m2 zastavěné plochy) se stanovuje koeficient</w:t>
      </w:r>
      <w:r>
        <w:rPr>
          <w:color w:val="00000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 xml:space="preserve">kterým se násobí základní sazba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daně zvýšená podle § 11 odst. 2 zákona č. 338/1992 </w:t>
      </w:r>
      <w:r>
        <w:rPr>
          <w:color w:val="1D1D00"/>
          <w:sz w:val="26"/>
          <w:szCs w:val="26"/>
        </w:rPr>
        <w:t>Sb.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, ve výši</w:t>
      </w:r>
      <w:r>
        <w:rPr>
          <w:color w:val="1D1D00"/>
          <w:sz w:val="26"/>
          <w:szCs w:val="26"/>
        </w:rPr>
        <w:t xml:space="preserve">: </w:t>
      </w:r>
    </w:p>
    <w:p w14:paraId="0000000B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-91" w:right="1886"/>
        <w:rPr>
          <w:rFonts w:ascii="Times New Roman" w:eastAsia="Times New Roman" w:hAnsi="Times New Roman" w:cs="Times New Roman"/>
          <w:color w:val="1D1D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</w:t>
      </w:r>
      <w:r>
        <w:rPr>
          <w:color w:val="1D1D00"/>
          <w:sz w:val="30"/>
          <w:szCs w:val="30"/>
        </w:rPr>
        <w:t xml:space="preserve">v </w:t>
      </w:r>
      <w:proofErr w:type="spellStart"/>
      <w:proofErr w:type="gramStart"/>
      <w:r>
        <w:rPr>
          <w:color w:val="1D1D00"/>
          <w:sz w:val="30"/>
          <w:szCs w:val="30"/>
        </w:rPr>
        <w:t>k.ú</w:t>
      </w:r>
      <w:proofErr w:type="spellEnd"/>
      <w:r>
        <w:rPr>
          <w:color w:val="1D1D00"/>
          <w:sz w:val="30"/>
          <w:szCs w:val="30"/>
        </w:rPr>
        <w:t>.</w:t>
      </w:r>
      <w:proofErr w:type="gramEnd"/>
      <w:r>
        <w:rPr>
          <w:color w:val="1D1D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>Kolnovice</w:t>
      </w:r>
      <w:proofErr w:type="spellEnd"/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 xml:space="preserve"> a v části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>k.ú</w:t>
      </w:r>
      <w:proofErr w:type="spellEnd"/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>.</w:t>
      </w:r>
      <w:proofErr w:type="gramEnd"/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 xml:space="preserve"> Široký Brod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" w:eastAsia="Times New Roman" w:hAnsi="Times New Roman" w:cs="Times New Roman"/>
          <w:color w:val="1D1D00"/>
          <w:sz w:val="30"/>
          <w:szCs w:val="30"/>
        </w:rPr>
        <w:t xml:space="preserve">část Na Pasekách </w:t>
      </w:r>
    </w:p>
    <w:p w14:paraId="0000000C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10" w:right="4497"/>
        <w:rPr>
          <w:rFonts w:ascii="Times New Roman" w:eastAsia="Times New Roman" w:hAnsi="Times New Roman" w:cs="Times New Roman"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(</w:t>
      </w:r>
      <w:proofErr w:type="gramStart"/>
      <w:r>
        <w:rPr>
          <w:color w:val="1D1D00"/>
          <w:sz w:val="24"/>
          <w:szCs w:val="24"/>
        </w:rPr>
        <w:t>č.p.</w:t>
      </w:r>
      <w:proofErr w:type="gramEnd"/>
      <w:r>
        <w:rPr>
          <w:color w:val="1D1D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22,31,35,36,116,141,142,143 ) </w:t>
      </w:r>
    </w:p>
    <w:p w14:paraId="0000000D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ind w:left="7094" w:right="1848"/>
        <w:rPr>
          <w:rFonts w:ascii="Times New Roman" w:eastAsia="Times New Roman" w:hAnsi="Times New Roman" w:cs="Times New Roman"/>
          <w:color w:val="1D1D00"/>
          <w:sz w:val="2"/>
          <w:szCs w:val="2"/>
        </w:rPr>
      </w:pPr>
      <w:r>
        <w:rPr>
          <w:rFonts w:ascii="Times New Roman" w:eastAsia="Times New Roman" w:hAnsi="Times New Roman" w:cs="Times New Roman"/>
          <w:color w:val="1D1D00"/>
          <w:sz w:val="2"/>
          <w:szCs w:val="2"/>
        </w:rPr>
        <w:t xml:space="preserve">- </w:t>
      </w:r>
    </w:p>
    <w:p w14:paraId="0000000E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ind w:left="7147" w:right="484"/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color w:val="1D1D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výši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1,4 </w:t>
      </w:r>
    </w:p>
    <w:p w14:paraId="0000000F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91" w:right="403"/>
        <w:rPr>
          <w:rFonts w:ascii="Times New Roman" w:eastAsia="Times New Roman" w:hAnsi="Times New Roman" w:cs="Times New Roman"/>
          <w:b/>
          <w:color w:val="1D1D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v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k.ú</w:t>
      </w:r>
      <w:proofErr w:type="spell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 Mikulovice </w:t>
      </w:r>
      <w:r>
        <w:rPr>
          <w:color w:val="1D1D00"/>
          <w:sz w:val="28"/>
          <w:szCs w:val="28"/>
        </w:rPr>
        <w:t xml:space="preserve">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k.ú</w:t>
      </w:r>
      <w:proofErr w:type="spell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 Široký Brod </w:t>
      </w:r>
      <w:r>
        <w:rPr>
          <w:color w:val="1D1D00"/>
          <w:sz w:val="28"/>
          <w:szCs w:val="28"/>
        </w:rPr>
        <w:t xml:space="preserve">mimo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části Na Pasekách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ve výši </w:t>
      </w:r>
      <w:r>
        <w:rPr>
          <w:rFonts w:ascii="Times New Roman" w:eastAsia="Times New Roman" w:hAnsi="Times New Roman" w:cs="Times New Roman"/>
          <w:b/>
          <w:color w:val="1D1D00"/>
          <w:sz w:val="28"/>
          <w:szCs w:val="28"/>
        </w:rPr>
        <w:t xml:space="preserve">1,6 </w:t>
      </w:r>
    </w:p>
    <w:p w14:paraId="00000010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3470" w:right="3624"/>
        <w:jc w:val="center"/>
        <w:rPr>
          <w:rFonts w:ascii="Times New Roman" w:eastAsia="Times New Roman" w:hAnsi="Times New Roman" w:cs="Times New Roman"/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lastRenderedPageBreak/>
        <w:t xml:space="preserve">Č1.3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Místní koeficient </w:t>
      </w:r>
    </w:p>
    <w:p w14:paraId="00000011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/>
        <w:ind w:left="-14" w:right="153"/>
        <w:jc w:val="center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Podle § 12 zákona </w:t>
      </w:r>
      <w:r>
        <w:rPr>
          <w:color w:val="1D1D00"/>
          <w:sz w:val="26"/>
          <w:szCs w:val="26"/>
        </w:rPr>
        <w:t xml:space="preserve">o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dani z nemovitosti se stanoví </w:t>
      </w:r>
      <w:r>
        <w:rPr>
          <w:color w:val="1D1D00"/>
          <w:sz w:val="26"/>
          <w:szCs w:val="26"/>
        </w:rPr>
        <w:t xml:space="preserve">pro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všechny nemovitosti na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území celé obce místní koeficient ve výši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Tímto koeficientem se vynásobí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daňová povinnost daňového poplatníka za jednotlivé </w:t>
      </w:r>
      <w:r>
        <w:rPr>
          <w:color w:val="1D1D00"/>
          <w:sz w:val="26"/>
          <w:szCs w:val="26"/>
        </w:rPr>
        <w:t xml:space="preserve">druhy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pozemků, </w:t>
      </w:r>
      <w:r>
        <w:rPr>
          <w:color w:val="1D1D00"/>
          <w:sz w:val="26"/>
          <w:szCs w:val="26"/>
        </w:rPr>
        <w:t xml:space="preserve">staveb,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samostatných nebytových prostor a za </w:t>
      </w:r>
      <w:r>
        <w:rPr>
          <w:color w:val="1D1D00"/>
          <w:sz w:val="26"/>
          <w:szCs w:val="26"/>
        </w:rPr>
        <w:t>byty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, popříp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adě jejich soubory</w:t>
      </w:r>
      <w:r>
        <w:rPr>
          <w:color w:val="1D1D00"/>
          <w:sz w:val="26"/>
          <w:szCs w:val="26"/>
        </w:rPr>
        <w:t xml:space="preserve">. </w:t>
      </w:r>
    </w:p>
    <w:p w14:paraId="00000012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4"/>
        <w:ind w:left="4320" w:right="4171"/>
        <w:rPr>
          <w:rFonts w:ascii="Times New Roman" w:eastAsia="Times New Roman" w:hAnsi="Times New Roman" w:cs="Times New Roman"/>
          <w:color w:val="1F1F00"/>
          <w:sz w:val="26"/>
          <w:szCs w:val="26"/>
        </w:rPr>
      </w:pPr>
      <w:r>
        <w:rPr>
          <w:rFonts w:ascii="Times New Roman" w:eastAsia="Times New Roman" w:hAnsi="Times New Roman" w:cs="Times New Roman"/>
          <w:color w:val="1F1F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F1F00"/>
          <w:sz w:val="26"/>
          <w:szCs w:val="26"/>
        </w:rPr>
        <w:t xml:space="preserve">4 </w:t>
      </w:r>
    </w:p>
    <w:p w14:paraId="00000013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3379" w:right="3249"/>
        <w:rPr>
          <w:rFonts w:ascii="Times New Roman" w:eastAsia="Times New Roman" w:hAnsi="Times New Roman" w:cs="Times New Roman"/>
          <w:color w:val="1F1F00"/>
        </w:rPr>
      </w:pPr>
      <w:r>
        <w:rPr>
          <w:rFonts w:ascii="Times New Roman" w:eastAsia="Times New Roman" w:hAnsi="Times New Roman" w:cs="Times New Roman"/>
          <w:color w:val="1F1F00"/>
        </w:rPr>
        <w:t xml:space="preserve">Zrušovací ustanovení </w:t>
      </w:r>
    </w:p>
    <w:p w14:paraId="00000014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1305" w:right="1219"/>
        <w:rPr>
          <w:rFonts w:ascii="Times New Roman" w:eastAsia="Times New Roman" w:hAnsi="Times New Roman" w:cs="Times New Roman"/>
          <w:color w:val="1F1F00"/>
          <w:sz w:val="26"/>
          <w:szCs w:val="26"/>
        </w:rPr>
      </w:pPr>
      <w:r>
        <w:rPr>
          <w:rFonts w:ascii="Times New Roman" w:eastAsia="Times New Roman" w:hAnsi="Times New Roman" w:cs="Times New Roman"/>
          <w:color w:val="1F1F00"/>
          <w:sz w:val="26"/>
          <w:szCs w:val="26"/>
        </w:rPr>
        <w:t>Touto obecně závaznou vyhláškou se ruší OZV č</w:t>
      </w:r>
      <w:r>
        <w:rPr>
          <w:color w:val="1F1F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F1F00"/>
          <w:sz w:val="26"/>
          <w:szCs w:val="26"/>
        </w:rPr>
        <w:t xml:space="preserve">1/2008 </w:t>
      </w:r>
    </w:p>
    <w:p w14:paraId="00000015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6"/>
        <w:ind w:left="4022" w:right="3988"/>
        <w:jc w:val="center"/>
        <w:rPr>
          <w:rFonts w:ascii="Times New Roman" w:eastAsia="Times New Roman" w:hAnsi="Times New Roman" w:cs="Times New Roman"/>
          <w:color w:val="1F1F00"/>
          <w:sz w:val="26"/>
          <w:szCs w:val="26"/>
        </w:rPr>
      </w:pPr>
      <w:r>
        <w:rPr>
          <w:rFonts w:ascii="Times New Roman" w:eastAsia="Times New Roman" w:hAnsi="Times New Roman" w:cs="Times New Roman"/>
          <w:color w:val="1F1F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FEFE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F1F00"/>
          <w:sz w:val="26"/>
          <w:szCs w:val="26"/>
        </w:rPr>
        <w:t xml:space="preserve">5 Účinnost </w:t>
      </w:r>
    </w:p>
    <w:p w14:paraId="00000016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ind w:left="7257" w:right="1742"/>
        <w:rPr>
          <w:color w:val="303000"/>
          <w:sz w:val="4"/>
          <w:szCs w:val="4"/>
        </w:rPr>
      </w:pPr>
      <w:r>
        <w:rPr>
          <w:color w:val="303000"/>
          <w:sz w:val="4"/>
          <w:szCs w:val="4"/>
        </w:rPr>
        <w:t xml:space="preserve">1 </w:t>
      </w:r>
    </w:p>
    <w:p w14:paraId="00000017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/>
        <w:ind w:left="940" w:right="936"/>
        <w:rPr>
          <w:rFonts w:ascii="Times New Roman" w:eastAsia="Times New Roman" w:hAnsi="Times New Roman" w:cs="Times New Roman"/>
          <w:color w:val="1E1E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E1E00"/>
          <w:sz w:val="28"/>
          <w:szCs w:val="28"/>
        </w:rPr>
        <w:t xml:space="preserve">Tato obecně </w:t>
      </w:r>
      <w:r>
        <w:rPr>
          <w:color w:val="1E1E00"/>
          <w:sz w:val="28"/>
          <w:szCs w:val="28"/>
        </w:rPr>
        <w:t xml:space="preserve">závazná </w:t>
      </w:r>
      <w:r>
        <w:rPr>
          <w:b/>
          <w:color w:val="1E1E00"/>
          <w:sz w:val="28"/>
          <w:szCs w:val="28"/>
        </w:rPr>
        <w:t xml:space="preserve">vyhláška nabývá účinnosti dnem </w:t>
      </w:r>
      <w:proofErr w:type="gramStart"/>
      <w:r>
        <w:rPr>
          <w:rFonts w:ascii="Times New Roman" w:eastAsia="Times New Roman" w:hAnsi="Times New Roman" w:cs="Times New Roman"/>
          <w:color w:val="1E1E00"/>
          <w:sz w:val="28"/>
          <w:szCs w:val="28"/>
        </w:rPr>
        <w:t>1.1.2010</w:t>
      </w:r>
      <w:proofErr w:type="gramEnd"/>
      <w:r>
        <w:rPr>
          <w:rFonts w:ascii="Times New Roman" w:eastAsia="Times New Roman" w:hAnsi="Times New Roman" w:cs="Times New Roman"/>
          <w:color w:val="1E1E00"/>
          <w:sz w:val="28"/>
          <w:szCs w:val="28"/>
        </w:rPr>
        <w:t xml:space="preserve"> </w:t>
      </w:r>
    </w:p>
    <w:p w14:paraId="00000018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0"/>
        <w:ind w:left="657" w:right="7248"/>
        <w:rPr>
          <w:color w:val="1C1C00"/>
          <w:sz w:val="20"/>
          <w:szCs w:val="20"/>
        </w:rPr>
      </w:pPr>
      <w:r>
        <w:rPr>
          <w:b/>
          <w:color w:val="1C1C00"/>
          <w:sz w:val="20"/>
          <w:szCs w:val="20"/>
        </w:rPr>
        <w:t xml:space="preserve">Ivan </w:t>
      </w:r>
      <w:r>
        <w:rPr>
          <w:color w:val="1C1C00"/>
          <w:sz w:val="20"/>
          <w:szCs w:val="20"/>
        </w:rPr>
        <w:t xml:space="preserve">Dost </w:t>
      </w:r>
    </w:p>
    <w:p w14:paraId="00000019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662" w:right="6912"/>
        <w:rPr>
          <w:b/>
          <w:color w:val="1C1C00"/>
          <w:sz w:val="18"/>
          <w:szCs w:val="18"/>
        </w:rPr>
      </w:pPr>
      <w:r>
        <w:rPr>
          <w:b/>
          <w:color w:val="1C1C00"/>
          <w:sz w:val="18"/>
          <w:szCs w:val="18"/>
        </w:rPr>
        <w:t xml:space="preserve">starosta obce </w:t>
      </w:r>
    </w:p>
    <w:p w14:paraId="0000001A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5"/>
        <w:ind w:left="-81" w:right="3638"/>
        <w:rPr>
          <w:color w:val="1C1C00"/>
          <w:sz w:val="56"/>
          <w:szCs w:val="56"/>
        </w:rPr>
      </w:pPr>
      <w:r>
        <w:rPr>
          <w:rFonts w:ascii="Times New Roman" w:eastAsia="Times New Roman" w:hAnsi="Times New Roman" w:cs="Times New Roman"/>
          <w:color w:val="1C1C00"/>
          <w:sz w:val="56"/>
          <w:szCs w:val="56"/>
        </w:rPr>
        <w:t xml:space="preserve">Vyvěšeno </w:t>
      </w:r>
      <w:r>
        <w:rPr>
          <w:b/>
          <w:color w:val="1C1C00"/>
          <w:sz w:val="56"/>
          <w:szCs w:val="56"/>
        </w:rPr>
        <w:t xml:space="preserve">na </w:t>
      </w:r>
      <w:r>
        <w:rPr>
          <w:color w:val="1C1C00"/>
          <w:sz w:val="56"/>
          <w:szCs w:val="56"/>
        </w:rPr>
        <w:t xml:space="preserve">úřední </w:t>
      </w:r>
      <w:r>
        <w:rPr>
          <w:rFonts w:ascii="Times New Roman" w:eastAsia="Times New Roman" w:hAnsi="Times New Roman" w:cs="Times New Roman"/>
          <w:b/>
          <w:color w:val="1C1C00"/>
          <w:sz w:val="56"/>
          <w:szCs w:val="56"/>
        </w:rPr>
        <w:t xml:space="preserve">desce </w:t>
      </w:r>
      <w:r>
        <w:rPr>
          <w:b/>
          <w:color w:val="1C1C00"/>
          <w:sz w:val="56"/>
          <w:szCs w:val="56"/>
        </w:rPr>
        <w:t>dne:</w:t>
      </w:r>
      <w:r>
        <w:rPr>
          <w:rFonts w:ascii="Times New Roman" w:eastAsia="Times New Roman" w:hAnsi="Times New Roman" w:cs="Times New Roman"/>
          <w:b/>
          <w:color w:val="1C1C00"/>
          <w:sz w:val="56"/>
          <w:szCs w:val="56"/>
        </w:rPr>
        <w:t xml:space="preserve">1 </w:t>
      </w:r>
      <w:r>
        <w:rPr>
          <w:b/>
          <w:color w:val="1C1C00"/>
          <w:sz w:val="56"/>
          <w:szCs w:val="56"/>
        </w:rPr>
        <w:t xml:space="preserve">9 -06- </w:t>
      </w:r>
      <w:r>
        <w:rPr>
          <w:b/>
          <w:i/>
          <w:color w:val="2E2E00"/>
          <w:sz w:val="56"/>
          <w:szCs w:val="56"/>
        </w:rPr>
        <w:t xml:space="preserve">2000 </w:t>
      </w:r>
      <w:r>
        <w:rPr>
          <w:color w:val="1C1C00"/>
          <w:sz w:val="56"/>
          <w:szCs w:val="56"/>
        </w:rPr>
        <w:t xml:space="preserve">BEC </w:t>
      </w:r>
    </w:p>
    <w:p w14:paraId="0000001B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ind w:left="-67" w:right="5937"/>
        <w:rPr>
          <w:color w:val="1C1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 xml:space="preserve">Sejmuto </w:t>
      </w:r>
      <w:r>
        <w:rPr>
          <w:rFonts w:ascii="Times New Roman" w:eastAsia="Times New Roman" w:hAnsi="Times New Roman" w:cs="Times New Roman"/>
          <w:color w:val="1C1C00"/>
          <w:sz w:val="26"/>
          <w:szCs w:val="26"/>
        </w:rPr>
        <w:t xml:space="preserve">z </w:t>
      </w: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 xml:space="preserve">úřední </w:t>
      </w:r>
      <w:r>
        <w:rPr>
          <w:rFonts w:ascii="Times New Roman" w:eastAsia="Times New Roman" w:hAnsi="Times New Roman" w:cs="Times New Roman"/>
          <w:color w:val="1C1C00"/>
          <w:sz w:val="26"/>
          <w:szCs w:val="26"/>
        </w:rPr>
        <w:t xml:space="preserve">desky </w:t>
      </w:r>
      <w:r>
        <w:rPr>
          <w:b/>
          <w:color w:val="1C1C00"/>
          <w:sz w:val="26"/>
          <w:szCs w:val="26"/>
        </w:rPr>
        <w:t>dne</w:t>
      </w:r>
      <w:r>
        <w:rPr>
          <w:color w:val="1C1C00"/>
          <w:sz w:val="26"/>
          <w:szCs w:val="26"/>
        </w:rPr>
        <w:t xml:space="preserve">: </w:t>
      </w:r>
    </w:p>
    <w:p w14:paraId="0000001C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ind w:left="3753" w:right="4296"/>
        <w:rPr>
          <w:color w:val="1C1C00"/>
          <w:sz w:val="24"/>
          <w:szCs w:val="24"/>
        </w:rPr>
      </w:pPr>
      <w:r>
        <w:rPr>
          <w:color w:val="1C1C00"/>
          <w:sz w:val="24"/>
          <w:szCs w:val="24"/>
        </w:rPr>
        <w:t xml:space="preserve">-07-2009 </w:t>
      </w:r>
    </w:p>
    <w:p w14:paraId="0000001D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ind w:left="-76" w:right="4776"/>
        <w:rPr>
          <w:rFonts w:ascii="Times New Roman" w:eastAsia="Times New Roman" w:hAnsi="Times New Roman" w:cs="Times New Roman"/>
          <w:b/>
          <w:color w:val="1C1C00"/>
          <w:sz w:val="34"/>
          <w:szCs w:val="34"/>
        </w:rPr>
      </w:pPr>
      <w:r>
        <w:rPr>
          <w:color w:val="1C1C00"/>
          <w:sz w:val="34"/>
          <w:szCs w:val="34"/>
        </w:rPr>
        <w:lastRenderedPageBreak/>
        <w:t xml:space="preserve">Zasláno </w:t>
      </w:r>
      <w:r>
        <w:rPr>
          <w:rFonts w:ascii="Times New Roman" w:eastAsia="Times New Roman" w:hAnsi="Times New Roman" w:cs="Times New Roman"/>
          <w:color w:val="1C1C00"/>
          <w:sz w:val="34"/>
          <w:szCs w:val="34"/>
        </w:rPr>
        <w:t xml:space="preserve">příslušnému </w:t>
      </w:r>
      <w:r>
        <w:rPr>
          <w:rFonts w:ascii="Times New Roman" w:eastAsia="Times New Roman" w:hAnsi="Times New Roman" w:cs="Times New Roman"/>
          <w:b/>
          <w:color w:val="1C1C00"/>
          <w:sz w:val="34"/>
          <w:szCs w:val="34"/>
        </w:rPr>
        <w:t xml:space="preserve">správci </w:t>
      </w:r>
      <w:r>
        <w:rPr>
          <w:color w:val="1C1C00"/>
          <w:sz w:val="34"/>
          <w:szCs w:val="34"/>
        </w:rPr>
        <w:t xml:space="preserve">daně </w:t>
      </w:r>
      <w:r>
        <w:rPr>
          <w:rFonts w:ascii="Times New Roman" w:eastAsia="Times New Roman" w:hAnsi="Times New Roman" w:cs="Times New Roman"/>
          <w:b/>
          <w:color w:val="1C1C00"/>
          <w:sz w:val="34"/>
          <w:szCs w:val="34"/>
        </w:rPr>
        <w:t xml:space="preserve">dne: </w:t>
      </w:r>
    </w:p>
    <w:p w14:paraId="0000001E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ind w:left="5947" w:right="873" w:hanging="5880"/>
        <w:rPr>
          <w:b/>
          <w:color w:val="1C1C00"/>
          <w:sz w:val="20"/>
          <w:szCs w:val="20"/>
        </w:rPr>
      </w:pPr>
      <w:r>
        <w:rPr>
          <w:b/>
          <w:color w:val="1C1C00"/>
        </w:rPr>
        <w:t xml:space="preserve">František </w:t>
      </w:r>
      <w:proofErr w:type="spellStart"/>
      <w:r>
        <w:rPr>
          <w:b/>
          <w:color w:val="1C1C00"/>
        </w:rPr>
        <w:t>Kadaňka</w:t>
      </w:r>
      <w:proofErr w:type="spellEnd"/>
      <w:r>
        <w:rPr>
          <w:b/>
          <w:color w:val="1C1C00"/>
        </w:rPr>
        <w:t xml:space="preserve"> </w:t>
      </w:r>
      <w:r>
        <w:rPr>
          <w:b/>
          <w:color w:val="1C1C00"/>
          <w:sz w:val="20"/>
          <w:szCs w:val="20"/>
        </w:rPr>
        <w:t xml:space="preserve">místostarosta obce </w:t>
      </w:r>
    </w:p>
    <w:p w14:paraId="0000001F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/>
        <w:ind w:left="5376" w:right="2467"/>
        <w:rPr>
          <w:color w:val="1C1C00"/>
          <w:sz w:val="42"/>
          <w:szCs w:val="42"/>
        </w:rPr>
      </w:pPr>
      <w:r>
        <w:rPr>
          <w:color w:val="1C1C00"/>
          <w:sz w:val="42"/>
          <w:szCs w:val="42"/>
        </w:rPr>
        <w:t xml:space="preserve">MIKULOVICE </w:t>
      </w:r>
    </w:p>
    <w:p w14:paraId="00000020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3508" w:right="4060"/>
        <w:rPr>
          <w:b/>
          <w:color w:val="1C1C00"/>
          <w:sz w:val="26"/>
          <w:szCs w:val="26"/>
        </w:rPr>
      </w:pPr>
      <w:r>
        <w:rPr>
          <w:b/>
          <w:color w:val="1C1C00"/>
          <w:sz w:val="26"/>
          <w:szCs w:val="26"/>
        </w:rPr>
        <w:t xml:space="preserve">-7-07-2009 </w:t>
      </w:r>
    </w:p>
    <w:p w14:paraId="00000021" w14:textId="77777777" w:rsidR="00A569D0" w:rsidRDefault="008C4E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5361" w:right="3566"/>
        <w:rPr>
          <w:rFonts w:ascii="Courier New" w:eastAsia="Courier New" w:hAnsi="Courier New" w:cs="Courier New"/>
          <w:b/>
          <w:i/>
          <w:color w:val="1C1C00"/>
          <w:sz w:val="14"/>
          <w:szCs w:val="14"/>
        </w:rPr>
      </w:pPr>
      <w:r>
        <w:rPr>
          <w:rFonts w:ascii="Courier New" w:eastAsia="Courier New" w:hAnsi="Courier New" w:cs="Courier New"/>
          <w:b/>
          <w:i/>
          <w:color w:val="1C1C00"/>
          <w:sz w:val="14"/>
          <w:szCs w:val="14"/>
        </w:rPr>
        <w:t xml:space="preserve">1 </w:t>
      </w:r>
    </w:p>
    <w:sectPr w:rsidR="00A569D0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569D0"/>
    <w:rsid w:val="008C4E5C"/>
    <w:rsid w:val="00A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Čujová</dc:creator>
  <cp:lastModifiedBy>Renata Čujová</cp:lastModifiedBy>
  <cp:revision>2</cp:revision>
  <dcterms:created xsi:type="dcterms:W3CDTF">2023-11-03T07:36:00Z</dcterms:created>
  <dcterms:modified xsi:type="dcterms:W3CDTF">2023-11-03T07:36:00Z</dcterms:modified>
</cp:coreProperties>
</file>