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E3052D" w14:textId="77777777" w:rsidR="00A710FB" w:rsidRDefault="00000000">
      <w:pPr>
        <w:spacing w:line="0" w:lineRule="atLeast"/>
        <w:ind w:right="16"/>
        <w:jc w:val="center"/>
        <w:rPr>
          <w:rFonts w:ascii="Arial" w:eastAsia="Arial" w:hAnsi="Arial"/>
          <w:b/>
          <w:sz w:val="24"/>
        </w:rPr>
      </w:pPr>
      <w:bookmarkStart w:id="0" w:name="page1"/>
      <w:bookmarkEnd w:id="0"/>
      <w:r>
        <w:rPr>
          <w:rFonts w:ascii="Arial" w:eastAsia="Arial" w:hAnsi="Arial"/>
          <w:b/>
          <w:sz w:val="24"/>
        </w:rPr>
        <w:t>Obec Chotěšice</w:t>
      </w:r>
    </w:p>
    <w:p w14:paraId="794A4B5D" w14:textId="77777777" w:rsidR="00A710FB" w:rsidRDefault="00A710FB">
      <w:pPr>
        <w:spacing w:line="43" w:lineRule="exact"/>
        <w:rPr>
          <w:rFonts w:ascii="Times New Roman" w:eastAsia="Times New Roman" w:hAnsi="Times New Roman"/>
          <w:sz w:val="24"/>
        </w:rPr>
      </w:pPr>
    </w:p>
    <w:p w14:paraId="323A1B95" w14:textId="77777777" w:rsidR="00A710FB" w:rsidRDefault="00000000">
      <w:pPr>
        <w:spacing w:line="0" w:lineRule="atLeast"/>
        <w:ind w:right="16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Zastupitelstvo obce Chotěšice</w:t>
      </w:r>
    </w:p>
    <w:p w14:paraId="7A40F313" w14:textId="77777777" w:rsidR="00A710FB" w:rsidRDefault="00A710FB">
      <w:pPr>
        <w:spacing w:line="366" w:lineRule="exact"/>
        <w:rPr>
          <w:rFonts w:ascii="Times New Roman" w:eastAsia="Times New Roman" w:hAnsi="Times New Roman"/>
          <w:sz w:val="24"/>
        </w:rPr>
      </w:pPr>
    </w:p>
    <w:p w14:paraId="28BA18D7" w14:textId="77777777" w:rsidR="00A710FB" w:rsidRDefault="00000000">
      <w:pPr>
        <w:spacing w:line="267" w:lineRule="auto"/>
        <w:ind w:left="2124" w:right="2140" w:firstLine="12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Obecně závazná vyhláška obce Chotěšice o stanovení místního koeficientu pro obec</w:t>
      </w:r>
    </w:p>
    <w:p w14:paraId="0657AA2E" w14:textId="77777777" w:rsidR="00A710FB" w:rsidRDefault="00A710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C28516B" w14:textId="77777777" w:rsidR="00A710FB" w:rsidRDefault="00A710FB">
      <w:pPr>
        <w:spacing w:line="351" w:lineRule="exact"/>
        <w:rPr>
          <w:rFonts w:ascii="Times New Roman" w:eastAsia="Times New Roman" w:hAnsi="Times New Roman"/>
          <w:sz w:val="24"/>
        </w:rPr>
      </w:pPr>
    </w:p>
    <w:p w14:paraId="61C8643D" w14:textId="77777777" w:rsidR="00A710FB" w:rsidRDefault="00000000">
      <w:pPr>
        <w:spacing w:line="0" w:lineRule="atLeast"/>
        <w:ind w:left="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Zastupitelstvo obce Chotěšice se na svém zasedání dne 30.9.2025 usneslo vydat na základě</w:t>
      </w:r>
    </w:p>
    <w:p w14:paraId="5FBA676D" w14:textId="77777777" w:rsidR="00A710FB" w:rsidRDefault="00A710FB">
      <w:pPr>
        <w:spacing w:line="60" w:lineRule="exact"/>
        <w:rPr>
          <w:rFonts w:ascii="Times New Roman" w:eastAsia="Times New Roman" w:hAnsi="Times New Roman"/>
          <w:sz w:val="24"/>
        </w:rPr>
      </w:pPr>
    </w:p>
    <w:p w14:paraId="0D1EB6B0" w14:textId="77777777" w:rsidR="00A710FB" w:rsidRDefault="00000000">
      <w:pPr>
        <w:numPr>
          <w:ilvl w:val="0"/>
          <w:numId w:val="1"/>
        </w:numPr>
        <w:tabs>
          <w:tab w:val="left" w:pos="229"/>
        </w:tabs>
        <w:spacing w:line="274" w:lineRule="auto"/>
        <w:ind w:left="4" w:hanging="4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12 odst. 1 písm. a) bod 1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 (dále jen „vyhláška“):</w:t>
      </w:r>
    </w:p>
    <w:p w14:paraId="6E533B9A" w14:textId="77777777" w:rsidR="00A710FB" w:rsidRDefault="00A710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226F98" w14:textId="77777777" w:rsidR="00A710FB" w:rsidRDefault="00A710FB">
      <w:pPr>
        <w:spacing w:line="332" w:lineRule="exact"/>
        <w:rPr>
          <w:rFonts w:ascii="Times New Roman" w:eastAsia="Times New Roman" w:hAnsi="Times New Roman"/>
          <w:sz w:val="24"/>
        </w:rPr>
      </w:pPr>
    </w:p>
    <w:p w14:paraId="661FDC61" w14:textId="77777777" w:rsidR="00A710FB" w:rsidRDefault="00000000">
      <w:pPr>
        <w:spacing w:line="0" w:lineRule="atLeast"/>
        <w:ind w:right="-3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Čl. 1</w:t>
      </w:r>
    </w:p>
    <w:p w14:paraId="6F565DFC" w14:textId="77777777" w:rsidR="00A710FB" w:rsidRDefault="00A710FB">
      <w:pPr>
        <w:spacing w:line="157" w:lineRule="exact"/>
        <w:rPr>
          <w:rFonts w:ascii="Times New Roman" w:eastAsia="Times New Roman" w:hAnsi="Times New Roman"/>
          <w:sz w:val="24"/>
        </w:rPr>
      </w:pPr>
    </w:p>
    <w:p w14:paraId="5F608A33" w14:textId="77777777" w:rsidR="00A710FB" w:rsidRDefault="00000000">
      <w:pPr>
        <w:spacing w:line="0" w:lineRule="atLeast"/>
        <w:ind w:right="16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Místní koeficient pro obec</w:t>
      </w:r>
    </w:p>
    <w:p w14:paraId="15A2B7E6" w14:textId="77777777" w:rsidR="00A710FB" w:rsidRDefault="00A710FB">
      <w:pPr>
        <w:spacing w:line="160" w:lineRule="exact"/>
        <w:rPr>
          <w:rFonts w:ascii="Times New Roman" w:eastAsia="Times New Roman" w:hAnsi="Times New Roman"/>
          <w:sz w:val="24"/>
        </w:rPr>
      </w:pPr>
    </w:p>
    <w:p w14:paraId="1E759F37" w14:textId="77777777" w:rsidR="00A710FB" w:rsidRDefault="00000000">
      <w:pPr>
        <w:numPr>
          <w:ilvl w:val="0"/>
          <w:numId w:val="2"/>
        </w:numPr>
        <w:tabs>
          <w:tab w:val="left" w:pos="1124"/>
        </w:tabs>
        <w:spacing w:line="0" w:lineRule="atLeast"/>
        <w:ind w:left="1124" w:hanging="416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Obec Chotěšice stanovuje místní koeficient pro obec ve výši 2 .</w:t>
      </w:r>
    </w:p>
    <w:p w14:paraId="2169BE59" w14:textId="77777777" w:rsidR="00A710FB" w:rsidRDefault="00A710FB">
      <w:pPr>
        <w:spacing w:line="164" w:lineRule="exact"/>
        <w:rPr>
          <w:rFonts w:ascii="Arial" w:eastAsia="Arial" w:hAnsi="Arial"/>
          <w:b/>
          <w:sz w:val="22"/>
        </w:rPr>
      </w:pPr>
    </w:p>
    <w:p w14:paraId="70B82D1A" w14:textId="77777777" w:rsidR="00A710FB" w:rsidRDefault="00000000">
      <w:pPr>
        <w:numPr>
          <w:ilvl w:val="0"/>
          <w:numId w:val="2"/>
        </w:numPr>
        <w:tabs>
          <w:tab w:val="left" w:pos="1137"/>
        </w:tabs>
        <w:spacing w:line="300" w:lineRule="auto"/>
        <w:ind w:left="4" w:firstLine="704"/>
        <w:jc w:val="both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1"/>
        </w:rPr>
        <w:t>Místní koeficient pro obec se vztahuje na všechny nemovité věci na území celé obce Chotěšice s výjimkou pozemků zařazených do skupiny vybraných zemědělských pozemků, trvalých travních porostů nebo nevyužitelných ostatních ploch.</w:t>
      </w:r>
      <w:r>
        <w:rPr>
          <w:rFonts w:ascii="Arial" w:eastAsia="Arial" w:hAnsi="Arial"/>
          <w:b/>
          <w:sz w:val="26"/>
          <w:vertAlign w:val="superscript"/>
        </w:rPr>
        <w:t>1</w:t>
      </w:r>
    </w:p>
    <w:p w14:paraId="64A7374E" w14:textId="77777777" w:rsidR="00A710FB" w:rsidRDefault="00A710FB">
      <w:pPr>
        <w:spacing w:line="393" w:lineRule="exact"/>
        <w:rPr>
          <w:rFonts w:ascii="Times New Roman" w:eastAsia="Times New Roman" w:hAnsi="Times New Roman"/>
          <w:sz w:val="24"/>
        </w:rPr>
      </w:pPr>
    </w:p>
    <w:p w14:paraId="7E0184B9" w14:textId="77777777" w:rsidR="00A710FB" w:rsidRDefault="00000000">
      <w:pPr>
        <w:spacing w:line="0" w:lineRule="atLeast"/>
        <w:ind w:left="4304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Čl. 2</w:t>
      </w:r>
    </w:p>
    <w:p w14:paraId="1B4DA1CC" w14:textId="77777777" w:rsidR="00A710FB" w:rsidRDefault="00A710FB">
      <w:pPr>
        <w:spacing w:line="157" w:lineRule="exact"/>
        <w:rPr>
          <w:rFonts w:ascii="Times New Roman" w:eastAsia="Times New Roman" w:hAnsi="Times New Roman"/>
          <w:sz w:val="24"/>
        </w:rPr>
      </w:pPr>
    </w:p>
    <w:p w14:paraId="0C44DADE" w14:textId="77777777" w:rsidR="00A710FB" w:rsidRDefault="00000000">
      <w:pPr>
        <w:spacing w:line="0" w:lineRule="atLeast"/>
        <w:ind w:left="4064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Účinnost</w:t>
      </w:r>
    </w:p>
    <w:p w14:paraId="488D1C43" w14:textId="77777777" w:rsidR="00A710FB" w:rsidRDefault="00A710FB">
      <w:pPr>
        <w:spacing w:line="157" w:lineRule="exact"/>
        <w:rPr>
          <w:rFonts w:ascii="Times New Roman" w:eastAsia="Times New Roman" w:hAnsi="Times New Roman"/>
          <w:sz w:val="24"/>
        </w:rPr>
      </w:pPr>
    </w:p>
    <w:p w14:paraId="68821738" w14:textId="6576F28B" w:rsidR="00A710FB" w:rsidRDefault="00000000">
      <w:pPr>
        <w:spacing w:line="0" w:lineRule="atLeast"/>
        <w:ind w:left="704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Tato vyhláška nabývá účinnosti dnem 1. ledna 202</w:t>
      </w:r>
      <w:r w:rsidR="00A45D2D">
        <w:rPr>
          <w:rFonts w:ascii="Arial" w:eastAsia="Arial" w:hAnsi="Arial"/>
          <w:b/>
          <w:sz w:val="22"/>
        </w:rPr>
        <w:t>6</w:t>
      </w:r>
      <w:r>
        <w:rPr>
          <w:rFonts w:ascii="Arial" w:eastAsia="Arial" w:hAnsi="Arial"/>
          <w:b/>
          <w:sz w:val="22"/>
        </w:rPr>
        <w:t>.</w:t>
      </w:r>
    </w:p>
    <w:p w14:paraId="61C1BA39" w14:textId="77777777" w:rsidR="00A710FB" w:rsidRDefault="00A710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01218B6" w14:textId="77777777" w:rsidR="00A710FB" w:rsidRDefault="00A710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14AEF8F" w14:textId="77777777" w:rsidR="00A710FB" w:rsidRDefault="00A710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2D51AF1" w14:textId="77777777" w:rsidR="00A710FB" w:rsidRDefault="00A710FB">
      <w:pPr>
        <w:spacing w:line="21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7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0"/>
        <w:gridCol w:w="3840"/>
      </w:tblGrid>
      <w:tr w:rsidR="00A710FB" w14:paraId="145B31F4" w14:textId="77777777">
        <w:trPr>
          <w:trHeight w:val="253"/>
        </w:trPr>
        <w:tc>
          <w:tcPr>
            <w:tcW w:w="3760" w:type="dxa"/>
            <w:vAlign w:val="bottom"/>
          </w:tcPr>
          <w:p w14:paraId="647748CB" w14:textId="77777777" w:rsidR="00A710FB" w:rsidRDefault="00000000">
            <w:pPr>
              <w:spacing w:line="0" w:lineRule="atLeast"/>
              <w:ind w:right="1010"/>
              <w:jc w:val="center"/>
              <w:rPr>
                <w:rFonts w:ascii="Arial" w:eastAsia="Arial" w:hAnsi="Arial"/>
                <w:b/>
                <w:w w:val="99"/>
                <w:sz w:val="22"/>
              </w:rPr>
            </w:pPr>
            <w:r>
              <w:rPr>
                <w:rFonts w:ascii="Arial" w:eastAsia="Arial" w:hAnsi="Arial"/>
                <w:b/>
                <w:w w:val="99"/>
                <w:sz w:val="22"/>
              </w:rPr>
              <w:t>………………………………</w:t>
            </w:r>
          </w:p>
        </w:tc>
        <w:tc>
          <w:tcPr>
            <w:tcW w:w="3840" w:type="dxa"/>
            <w:vAlign w:val="bottom"/>
          </w:tcPr>
          <w:p w14:paraId="4F308B42" w14:textId="77777777" w:rsidR="00A710FB" w:rsidRDefault="00000000">
            <w:pPr>
              <w:spacing w:line="0" w:lineRule="atLeast"/>
              <w:ind w:left="990"/>
              <w:jc w:val="center"/>
              <w:rPr>
                <w:rFonts w:ascii="Arial" w:eastAsia="Arial" w:hAnsi="Arial"/>
                <w:b/>
                <w:w w:val="99"/>
                <w:sz w:val="22"/>
              </w:rPr>
            </w:pPr>
            <w:r>
              <w:rPr>
                <w:rFonts w:ascii="Arial" w:eastAsia="Arial" w:hAnsi="Arial"/>
                <w:b/>
                <w:w w:val="99"/>
                <w:sz w:val="22"/>
              </w:rPr>
              <w:t>………………………………</w:t>
            </w:r>
          </w:p>
        </w:tc>
      </w:tr>
      <w:tr w:rsidR="00A710FB" w14:paraId="11824649" w14:textId="77777777">
        <w:trPr>
          <w:trHeight w:val="410"/>
        </w:trPr>
        <w:tc>
          <w:tcPr>
            <w:tcW w:w="3760" w:type="dxa"/>
            <w:vAlign w:val="bottom"/>
          </w:tcPr>
          <w:p w14:paraId="0998225B" w14:textId="77777777" w:rsidR="00A710FB" w:rsidRDefault="00000000">
            <w:pPr>
              <w:spacing w:line="0" w:lineRule="atLeast"/>
              <w:ind w:right="990"/>
              <w:jc w:val="center"/>
              <w:rPr>
                <w:rFonts w:ascii="Arial" w:eastAsia="Arial" w:hAnsi="Arial"/>
                <w:b/>
                <w:w w:val="94"/>
                <w:sz w:val="22"/>
              </w:rPr>
            </w:pPr>
            <w:r>
              <w:rPr>
                <w:rFonts w:ascii="Arial" w:eastAsia="Arial" w:hAnsi="Arial"/>
                <w:b/>
                <w:w w:val="94"/>
                <w:sz w:val="22"/>
              </w:rPr>
              <w:t>Tomáš Peřina v.r.</w:t>
            </w:r>
          </w:p>
        </w:tc>
        <w:tc>
          <w:tcPr>
            <w:tcW w:w="3840" w:type="dxa"/>
            <w:vAlign w:val="bottom"/>
          </w:tcPr>
          <w:p w14:paraId="2C6A9FD4" w14:textId="77777777" w:rsidR="00A710FB" w:rsidRDefault="00000000">
            <w:pPr>
              <w:spacing w:line="0" w:lineRule="atLeast"/>
              <w:ind w:left="990"/>
              <w:jc w:val="center"/>
              <w:rPr>
                <w:rFonts w:ascii="Arial" w:eastAsia="Arial" w:hAnsi="Arial"/>
                <w:b/>
                <w:w w:val="93"/>
                <w:sz w:val="22"/>
              </w:rPr>
            </w:pPr>
            <w:r>
              <w:rPr>
                <w:rFonts w:ascii="Arial" w:eastAsia="Arial" w:hAnsi="Arial"/>
                <w:b/>
                <w:w w:val="93"/>
                <w:sz w:val="22"/>
              </w:rPr>
              <w:t>ing. Jaroslava Baráková v.r.</w:t>
            </w:r>
          </w:p>
        </w:tc>
      </w:tr>
      <w:tr w:rsidR="00A710FB" w14:paraId="37F9F243" w14:textId="77777777">
        <w:trPr>
          <w:trHeight w:val="410"/>
        </w:trPr>
        <w:tc>
          <w:tcPr>
            <w:tcW w:w="3760" w:type="dxa"/>
            <w:vAlign w:val="bottom"/>
          </w:tcPr>
          <w:p w14:paraId="4DCF0FD2" w14:textId="77777777" w:rsidR="00A710FB" w:rsidRDefault="00000000">
            <w:pPr>
              <w:spacing w:line="0" w:lineRule="atLeast"/>
              <w:ind w:right="990"/>
              <w:jc w:val="center"/>
              <w:rPr>
                <w:rFonts w:ascii="Arial" w:eastAsia="Arial" w:hAnsi="Arial"/>
                <w:b/>
                <w:w w:val="91"/>
                <w:sz w:val="22"/>
              </w:rPr>
            </w:pPr>
            <w:r>
              <w:rPr>
                <w:rFonts w:ascii="Arial" w:eastAsia="Arial" w:hAnsi="Arial"/>
                <w:b/>
                <w:w w:val="91"/>
                <w:sz w:val="22"/>
              </w:rPr>
              <w:t>starosta</w:t>
            </w:r>
          </w:p>
        </w:tc>
        <w:tc>
          <w:tcPr>
            <w:tcW w:w="3840" w:type="dxa"/>
            <w:vAlign w:val="bottom"/>
          </w:tcPr>
          <w:p w14:paraId="1B9ED910" w14:textId="77777777" w:rsidR="00A710FB" w:rsidRDefault="00000000">
            <w:pPr>
              <w:spacing w:line="0" w:lineRule="atLeast"/>
              <w:ind w:left="990"/>
              <w:jc w:val="center"/>
              <w:rPr>
                <w:rFonts w:ascii="Arial" w:eastAsia="Arial" w:hAnsi="Arial"/>
                <w:b/>
                <w:w w:val="91"/>
                <w:sz w:val="22"/>
              </w:rPr>
            </w:pPr>
            <w:r>
              <w:rPr>
                <w:rFonts w:ascii="Arial" w:eastAsia="Arial" w:hAnsi="Arial"/>
                <w:b/>
                <w:w w:val="91"/>
                <w:sz w:val="22"/>
              </w:rPr>
              <w:t>místostarosta</w:t>
            </w:r>
          </w:p>
        </w:tc>
      </w:tr>
    </w:tbl>
    <w:p w14:paraId="0ACFB7B4" w14:textId="1D3FDA6D" w:rsidR="00A710FB" w:rsidRDefault="0002610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w w:val="91"/>
          <w:sz w:val="22"/>
        </w:rPr>
        <w:drawing>
          <wp:anchor distT="0" distB="0" distL="114300" distR="114300" simplePos="0" relativeHeight="251657728" behindDoc="1" locked="0" layoutInCell="1" allowOverlap="1" wp14:anchorId="285336BC" wp14:editId="0D1FEFD1">
            <wp:simplePos x="0" y="0"/>
            <wp:positionH relativeFrom="column">
              <wp:posOffset>0</wp:posOffset>
            </wp:positionH>
            <wp:positionV relativeFrom="paragraph">
              <wp:posOffset>2276475</wp:posOffset>
            </wp:positionV>
            <wp:extent cx="1828800" cy="889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7332E" w14:textId="77777777" w:rsidR="00A710FB" w:rsidRDefault="00A710FB">
      <w:pPr>
        <w:spacing w:line="20" w:lineRule="exact"/>
        <w:rPr>
          <w:rFonts w:ascii="Times New Roman" w:eastAsia="Times New Roman" w:hAnsi="Times New Roman"/>
          <w:sz w:val="24"/>
        </w:rPr>
        <w:sectPr w:rsidR="00A710FB">
          <w:pgSz w:w="11900" w:h="16838"/>
          <w:pgMar w:top="1415" w:right="1406" w:bottom="1440" w:left="1416" w:header="0" w:footer="0" w:gutter="0"/>
          <w:cols w:space="0" w:equalWidth="0">
            <w:col w:w="9084"/>
          </w:cols>
          <w:docGrid w:linePitch="360"/>
        </w:sectPr>
      </w:pPr>
    </w:p>
    <w:p w14:paraId="3E034DCB" w14:textId="77777777" w:rsidR="00A710FB" w:rsidRDefault="00A710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FCC35AC" w14:textId="77777777" w:rsidR="00A710FB" w:rsidRDefault="00A710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833C18D" w14:textId="77777777" w:rsidR="00A710FB" w:rsidRDefault="00A710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49535A8" w14:textId="77777777" w:rsidR="00A710FB" w:rsidRDefault="00A710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B385C8E" w14:textId="77777777" w:rsidR="00A710FB" w:rsidRDefault="00A710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C436410" w14:textId="77777777" w:rsidR="00A710FB" w:rsidRDefault="00A710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62A7A9" w14:textId="77777777" w:rsidR="00A710FB" w:rsidRDefault="00A710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C6BCD0" w14:textId="77777777" w:rsidR="00A710FB" w:rsidRDefault="00A710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A4636CC" w14:textId="77777777" w:rsidR="00A710FB" w:rsidRDefault="00A710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B13BFF" w14:textId="77777777" w:rsidR="00A710FB" w:rsidRDefault="00A710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457AAA3" w14:textId="77777777" w:rsidR="00A710FB" w:rsidRDefault="00A710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239F294" w14:textId="77777777" w:rsidR="00A710FB" w:rsidRDefault="00A710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41BD68F" w14:textId="77777777" w:rsidR="00A710FB" w:rsidRDefault="00A710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B02E7AC" w14:textId="77777777" w:rsidR="00A710FB" w:rsidRDefault="00A710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7E7309" w14:textId="77777777" w:rsidR="00A710FB" w:rsidRDefault="00A710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100EB8" w14:textId="77777777" w:rsidR="00A710FB" w:rsidRDefault="00A710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11526E" w14:textId="77777777" w:rsidR="00A710FB" w:rsidRDefault="00A710F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5941889" w14:textId="77777777" w:rsidR="00A710FB" w:rsidRDefault="00A710FB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3D7E10B1" w14:textId="77777777" w:rsidR="00BD5339" w:rsidRDefault="00000000">
      <w:pPr>
        <w:numPr>
          <w:ilvl w:val="0"/>
          <w:numId w:val="3"/>
        </w:numPr>
        <w:tabs>
          <w:tab w:val="left" w:pos="124"/>
        </w:tabs>
        <w:spacing w:line="0" w:lineRule="atLeast"/>
        <w:ind w:left="124" w:hanging="124"/>
        <w:rPr>
          <w:rFonts w:ascii="Arial" w:eastAsia="Arial" w:hAnsi="Arial"/>
          <w:b/>
          <w:sz w:val="23"/>
          <w:vertAlign w:val="superscript"/>
        </w:rPr>
      </w:pPr>
      <w:r>
        <w:rPr>
          <w:rFonts w:ascii="Arial" w:eastAsia="Arial" w:hAnsi="Arial"/>
          <w:b/>
          <w:sz w:val="17"/>
        </w:rPr>
        <w:t>§ 12ab odst. 1 a 6 zákona o dani z nemovitých věcí.</w:t>
      </w:r>
    </w:p>
    <w:sectPr w:rsidR="00BD5339">
      <w:type w:val="continuous"/>
      <w:pgSz w:w="11900" w:h="16838"/>
      <w:pgMar w:top="1415" w:right="1406" w:bottom="1440" w:left="1416" w:header="0" w:footer="0" w:gutter="0"/>
      <w:cols w:space="0" w:equalWidth="0">
        <w:col w:w="908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618565589">
    <w:abstractNumId w:val="0"/>
  </w:num>
  <w:num w:numId="2" w16cid:durableId="1994021421">
    <w:abstractNumId w:val="1"/>
  </w:num>
  <w:num w:numId="3" w16cid:durableId="721749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A1"/>
    <w:rsid w:val="0002610F"/>
    <w:rsid w:val="00482733"/>
    <w:rsid w:val="0086077D"/>
    <w:rsid w:val="00A45D2D"/>
    <w:rsid w:val="00A710FB"/>
    <w:rsid w:val="00BD5339"/>
    <w:rsid w:val="00CC32A1"/>
    <w:rsid w:val="00F4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0DE26"/>
  <w15:chartTrackingRefBased/>
  <w15:docId w15:val="{A12616CD-C06B-4C19-86FF-2930CF80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vonmann</dc:creator>
  <cp:keywords/>
  <cp:lastModifiedBy>Obec Chotěšice</cp:lastModifiedBy>
  <cp:revision>4</cp:revision>
  <dcterms:created xsi:type="dcterms:W3CDTF">2026-01-22T07:37:00Z</dcterms:created>
  <dcterms:modified xsi:type="dcterms:W3CDTF">2026-01-22T07:38:00Z</dcterms:modified>
</cp:coreProperties>
</file>