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40" w:rsidRDefault="000A3540" w:rsidP="000A3540">
      <w:pPr>
        <w:suppressAutoHyphens w:val="0"/>
        <w:autoSpaceDE w:val="0"/>
        <w:adjustRightInd w:val="0"/>
        <w:jc w:val="center"/>
        <w:textAlignment w:val="auto"/>
        <w:rPr>
          <w:rFonts w:ascii="Tahoma,Bold-OneByteIdentityH" w:hAnsi="Tahoma,Bold-OneByteIdentityH" w:cs="Tahoma,Bold-OneByteIdentityH"/>
          <w:b/>
          <w:bCs/>
          <w:kern w:val="0"/>
          <w:sz w:val="32"/>
          <w:szCs w:val="32"/>
          <w:lang w:bidi="ar-SA"/>
        </w:rPr>
      </w:pPr>
      <w:bookmarkStart w:id="0" w:name="_GoBack"/>
      <w:bookmarkEnd w:id="0"/>
    </w:p>
    <w:p w:rsidR="000A3540" w:rsidRDefault="000A3540" w:rsidP="000A3540">
      <w:pPr>
        <w:spacing w:line="276" w:lineRule="auto"/>
        <w:jc w:val="center"/>
        <w:rPr>
          <w:noProof/>
        </w:rPr>
      </w:pPr>
      <w:r w:rsidRPr="00473A5C">
        <w:rPr>
          <w:noProof/>
          <w:lang w:eastAsia="cs-CZ" w:bidi="ar-SA"/>
        </w:rPr>
        <w:drawing>
          <wp:inline distT="0" distB="0" distL="0" distR="0">
            <wp:extent cx="1379220" cy="136743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091" cy="13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58" w:rsidRDefault="00A21058" w:rsidP="000A3540">
      <w:pPr>
        <w:spacing w:line="276" w:lineRule="auto"/>
        <w:jc w:val="center"/>
        <w:rPr>
          <w:noProof/>
        </w:rPr>
      </w:pPr>
    </w:p>
    <w:p w:rsidR="000A3540" w:rsidRPr="003D7470" w:rsidRDefault="000A3540" w:rsidP="000A3540">
      <w:pPr>
        <w:spacing w:line="276" w:lineRule="auto"/>
        <w:jc w:val="center"/>
        <w:rPr>
          <w:rFonts w:ascii="Tahoma" w:hAnsi="Tahoma" w:cs="Tahoma"/>
          <w:b/>
          <w:sz w:val="40"/>
          <w:szCs w:val="40"/>
        </w:rPr>
      </w:pPr>
      <w:r w:rsidRPr="003D7470">
        <w:rPr>
          <w:rFonts w:ascii="Tahoma" w:hAnsi="Tahoma" w:cs="Tahoma"/>
          <w:b/>
          <w:sz w:val="40"/>
          <w:szCs w:val="40"/>
        </w:rPr>
        <w:t>M</w:t>
      </w:r>
      <w:r w:rsidR="00C45E60">
        <w:rPr>
          <w:rFonts w:ascii="Tahoma" w:hAnsi="Tahoma" w:cs="Tahoma"/>
          <w:b/>
          <w:sz w:val="40"/>
          <w:szCs w:val="40"/>
        </w:rPr>
        <w:t>ěsto Kolín</w:t>
      </w:r>
    </w:p>
    <w:p w:rsidR="000A3540" w:rsidRPr="003D7470" w:rsidRDefault="000A3540" w:rsidP="000A3540">
      <w:pPr>
        <w:spacing w:line="276" w:lineRule="auto"/>
        <w:jc w:val="center"/>
        <w:rPr>
          <w:rFonts w:ascii="Tahoma" w:hAnsi="Tahoma" w:cs="Tahoma"/>
          <w:b/>
        </w:rPr>
      </w:pPr>
      <w:r w:rsidRPr="003D7470">
        <w:rPr>
          <w:rFonts w:ascii="Tahoma" w:hAnsi="Tahoma" w:cs="Tahoma"/>
          <w:b/>
        </w:rPr>
        <w:t>Zastupitelstvo města Kolína</w:t>
      </w:r>
    </w:p>
    <w:p w:rsidR="000A3540" w:rsidRPr="000729EF" w:rsidRDefault="000A3540" w:rsidP="000A3540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0A3540" w:rsidRPr="00A21058" w:rsidRDefault="000A3540" w:rsidP="000A3540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A21058">
        <w:rPr>
          <w:rFonts w:ascii="Tahoma" w:hAnsi="Tahoma" w:cs="Tahoma"/>
          <w:b/>
          <w:sz w:val="28"/>
          <w:szCs w:val="28"/>
        </w:rPr>
        <w:t>Obecně závazná vyhláška města Kolína</w:t>
      </w:r>
    </w:p>
    <w:p w:rsidR="000A3540" w:rsidRPr="00A21058" w:rsidRDefault="000A3540" w:rsidP="000A3540">
      <w:pPr>
        <w:spacing w:line="276" w:lineRule="auto"/>
        <w:jc w:val="center"/>
        <w:rPr>
          <w:rFonts w:ascii="Tahoma" w:hAnsi="Tahoma" w:cs="Tahoma"/>
          <w:b/>
        </w:rPr>
      </w:pPr>
      <w:r w:rsidRPr="00A21058">
        <w:rPr>
          <w:rFonts w:ascii="Tahoma" w:hAnsi="Tahoma" w:cs="Tahoma"/>
          <w:b/>
        </w:rPr>
        <w:t>o místním poplatku z</w:t>
      </w:r>
      <w:r w:rsidR="00C45E60" w:rsidRPr="00A21058">
        <w:rPr>
          <w:rFonts w:ascii="Tahoma" w:hAnsi="Tahoma" w:cs="Tahoma"/>
          <w:b/>
        </w:rPr>
        <w:t> </w:t>
      </w:r>
      <w:r w:rsidRPr="00A21058">
        <w:rPr>
          <w:rFonts w:ascii="Tahoma" w:hAnsi="Tahoma" w:cs="Tahoma"/>
          <w:b/>
        </w:rPr>
        <w:t>pobytu</w:t>
      </w:r>
    </w:p>
    <w:p w:rsidR="00C45E60" w:rsidRPr="000729EF" w:rsidRDefault="00C45E60" w:rsidP="000A3540">
      <w:pPr>
        <w:spacing w:line="276" w:lineRule="auto"/>
        <w:jc w:val="center"/>
        <w:rPr>
          <w:rFonts w:ascii="Tahoma" w:hAnsi="Tahoma" w:cs="Tahoma"/>
          <w:b/>
          <w:sz w:val="36"/>
          <w:szCs w:val="36"/>
        </w:rPr>
      </w:pPr>
    </w:p>
    <w:p w:rsidR="00B80EB0" w:rsidRPr="00F0690B" w:rsidRDefault="009A0D78" w:rsidP="000A3540">
      <w:pPr>
        <w:pStyle w:val="UvodniVeta"/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Zastupitelstvo města Kolín se na svém zasedání dne 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332A4F" w:rsidRPr="00F0690B" w:rsidRDefault="00332A4F" w:rsidP="000A3540">
      <w:pPr>
        <w:pStyle w:val="UvodniVeta"/>
        <w:rPr>
          <w:rFonts w:ascii="Tahoma" w:hAnsi="Tahoma" w:cs="Tahoma"/>
          <w:sz w:val="24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1</w:t>
      </w:r>
      <w:r w:rsidRPr="00F0690B">
        <w:rPr>
          <w:rFonts w:ascii="Tahoma" w:hAnsi="Tahoma" w:cs="Tahoma"/>
        </w:rPr>
        <w:br/>
        <w:t>Úvodní ustanovení</w:t>
      </w:r>
    </w:p>
    <w:p w:rsidR="00B80EB0" w:rsidRPr="00F0690B" w:rsidRDefault="009A0D78" w:rsidP="009A0D78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Město Kolín touto vyhláškou zavádí místní poplatek z pobytu (dále jen „poplatek“).</w:t>
      </w:r>
    </w:p>
    <w:p w:rsidR="00B80EB0" w:rsidRPr="00F0690B" w:rsidRDefault="009A0D78" w:rsidP="009A0D78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Správcem poplatku je městský úřad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1"/>
      </w:r>
      <w:r w:rsidRPr="00F0690B">
        <w:rPr>
          <w:rFonts w:ascii="Tahoma" w:hAnsi="Tahoma" w:cs="Tahoma"/>
          <w:sz w:val="24"/>
          <w:szCs w:val="24"/>
        </w:rPr>
        <w:t>.</w:t>
      </w:r>
    </w:p>
    <w:p w:rsidR="000A3540" w:rsidRPr="00F0690B" w:rsidRDefault="000A3540" w:rsidP="000A3540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2</w:t>
      </w:r>
      <w:r w:rsidRPr="00F0690B">
        <w:rPr>
          <w:rFonts w:ascii="Tahoma" w:hAnsi="Tahoma" w:cs="Tahoma"/>
        </w:rPr>
        <w:br/>
        <w:t>Předmět, poplatník a plátce poplatku</w:t>
      </w:r>
    </w:p>
    <w:p w:rsidR="00B80EB0" w:rsidRPr="00F0690B" w:rsidRDefault="009A0D78" w:rsidP="009A0D78">
      <w:pPr>
        <w:pStyle w:val="Odstavec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 xml:space="preserve"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</w:t>
      </w:r>
      <w:r w:rsidRPr="00F0690B">
        <w:rPr>
          <w:rFonts w:ascii="Tahoma" w:hAnsi="Tahoma" w:cs="Tahoma"/>
          <w:sz w:val="24"/>
          <w:szCs w:val="24"/>
        </w:rPr>
        <w:lastRenderedPageBreak/>
        <w:t>pojištění nebo pokud je její součástí, s výjimkou lázeňské léčebně rehabilitační péče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2"/>
      </w:r>
      <w:r w:rsidRPr="00F0690B">
        <w:rPr>
          <w:rFonts w:ascii="Tahoma" w:hAnsi="Tahoma" w:cs="Tahoma"/>
          <w:sz w:val="24"/>
          <w:szCs w:val="24"/>
        </w:rPr>
        <w:t>.</w:t>
      </w:r>
    </w:p>
    <w:p w:rsidR="00B80EB0" w:rsidRPr="00F0690B" w:rsidRDefault="009A0D78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Poplatníkem poplatku je osoba, která ve městě není přihlášená (dále jen „poplatník“)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3"/>
      </w:r>
      <w:r w:rsidRPr="00F0690B">
        <w:rPr>
          <w:rFonts w:ascii="Tahoma" w:hAnsi="Tahoma" w:cs="Tahoma"/>
          <w:sz w:val="24"/>
          <w:szCs w:val="24"/>
        </w:rPr>
        <w:t>.</w:t>
      </w:r>
    </w:p>
    <w:p w:rsidR="00B80EB0" w:rsidRDefault="009A0D78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Plátcem poplatku je poskytovatel úplatného pobytu (dále jen „plátce“). Plátce je povinen vybrat poplatek od poplatníka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4"/>
      </w:r>
      <w:r w:rsidRPr="00F0690B">
        <w:rPr>
          <w:rFonts w:ascii="Tahoma" w:hAnsi="Tahoma" w:cs="Tahoma"/>
          <w:sz w:val="24"/>
          <w:szCs w:val="24"/>
        </w:rPr>
        <w:t>.</w:t>
      </w:r>
    </w:p>
    <w:p w:rsidR="00F0690B" w:rsidRPr="00F0690B" w:rsidRDefault="00F0690B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3</w:t>
      </w:r>
      <w:r w:rsidRPr="00F0690B">
        <w:rPr>
          <w:rFonts w:ascii="Tahoma" w:hAnsi="Tahoma" w:cs="Tahoma"/>
        </w:rPr>
        <w:br/>
        <w:t>Ohlašovací povinnost</w:t>
      </w:r>
    </w:p>
    <w:p w:rsidR="00B80EB0" w:rsidRPr="00F0690B" w:rsidRDefault="009A0D78">
      <w:pPr>
        <w:pStyle w:val="Odstavec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5"/>
      </w:r>
      <w:r w:rsidRPr="00F0690B">
        <w:rPr>
          <w:rFonts w:ascii="Tahoma" w:hAnsi="Tahoma" w:cs="Tahoma"/>
          <w:sz w:val="24"/>
          <w:szCs w:val="24"/>
        </w:rPr>
        <w:t>.</w:t>
      </w:r>
    </w:p>
    <w:p w:rsidR="00B80EB0" w:rsidRPr="00F0690B" w:rsidRDefault="009A0D78" w:rsidP="000A3540">
      <w:pPr>
        <w:pStyle w:val="Odstavec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Dojde-li ke změně údajů uvedených v ohlášení, je plátce povinen tuto změnu oznámit do 15 dnů ode dne, kdy nastala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6"/>
      </w:r>
      <w:r w:rsidRPr="00F0690B">
        <w:rPr>
          <w:rFonts w:ascii="Tahoma" w:hAnsi="Tahoma" w:cs="Tahoma"/>
          <w:sz w:val="24"/>
          <w:szCs w:val="24"/>
        </w:rPr>
        <w:t>.</w:t>
      </w:r>
    </w:p>
    <w:p w:rsidR="000A3540" w:rsidRPr="00F0690B" w:rsidRDefault="000A3540" w:rsidP="000A3540">
      <w:pPr>
        <w:pStyle w:val="Odstavec"/>
        <w:spacing w:after="0"/>
        <w:ind w:left="567"/>
        <w:rPr>
          <w:rFonts w:ascii="Tahoma" w:hAnsi="Tahoma" w:cs="Tahoma"/>
          <w:sz w:val="24"/>
          <w:szCs w:val="24"/>
        </w:rPr>
      </w:pPr>
    </w:p>
    <w:p w:rsidR="000A3540" w:rsidRPr="00F0690B" w:rsidRDefault="000A3540" w:rsidP="000A3540">
      <w:pPr>
        <w:pStyle w:val="Nadpis2"/>
        <w:spacing w:before="0" w:after="0"/>
        <w:rPr>
          <w:rFonts w:ascii="Tahoma" w:hAnsi="Tahoma" w:cs="Tahoma"/>
        </w:rPr>
      </w:pPr>
    </w:p>
    <w:p w:rsidR="00B80EB0" w:rsidRPr="00F0690B" w:rsidRDefault="009A0D78" w:rsidP="000A3540">
      <w:pPr>
        <w:pStyle w:val="Nadpis2"/>
        <w:spacing w:before="0" w:after="0"/>
        <w:rPr>
          <w:rFonts w:ascii="Tahoma" w:hAnsi="Tahoma" w:cs="Tahoma"/>
        </w:rPr>
      </w:pPr>
      <w:r w:rsidRPr="00F0690B">
        <w:rPr>
          <w:rFonts w:ascii="Tahoma" w:hAnsi="Tahoma" w:cs="Tahoma"/>
        </w:rPr>
        <w:t>Čl. 4</w:t>
      </w:r>
      <w:r w:rsidRPr="00F0690B">
        <w:rPr>
          <w:rFonts w:ascii="Tahoma" w:hAnsi="Tahoma" w:cs="Tahoma"/>
        </w:rPr>
        <w:br/>
        <w:t>Evidenční povinnost</w:t>
      </w:r>
    </w:p>
    <w:p w:rsidR="00B80EB0" w:rsidRDefault="009A0D78" w:rsidP="000A3540">
      <w:pPr>
        <w:pStyle w:val="Odstavec"/>
        <w:spacing w:after="0"/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Evidenční povinnost plátce, včetně povinnosti vést evidenční knihu, upravuje zákon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7"/>
      </w:r>
      <w:r w:rsidRPr="00F0690B">
        <w:rPr>
          <w:rFonts w:ascii="Tahoma" w:hAnsi="Tahoma" w:cs="Tahoma"/>
          <w:sz w:val="24"/>
          <w:szCs w:val="24"/>
        </w:rPr>
        <w:t>.</w:t>
      </w:r>
    </w:p>
    <w:p w:rsidR="00F0690B" w:rsidRPr="00F0690B" w:rsidRDefault="00F0690B" w:rsidP="000A3540">
      <w:pPr>
        <w:pStyle w:val="Odstavec"/>
        <w:spacing w:after="0"/>
        <w:rPr>
          <w:rFonts w:ascii="Tahoma" w:hAnsi="Tahoma" w:cs="Tahoma"/>
          <w:sz w:val="24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5</w:t>
      </w:r>
      <w:r w:rsidRPr="00F0690B">
        <w:rPr>
          <w:rFonts w:ascii="Tahoma" w:hAnsi="Tahoma" w:cs="Tahoma"/>
        </w:rPr>
        <w:br/>
        <w:t>Sazba poplatku</w:t>
      </w:r>
    </w:p>
    <w:p w:rsidR="00B80EB0" w:rsidRPr="00F0690B" w:rsidRDefault="009A0D78">
      <w:pPr>
        <w:pStyle w:val="Odstavec"/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Sazba poplatku činí 10 Kč za každý započatý den pobytu, s výjimkou dne počátku pobytu.</w:t>
      </w: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6</w:t>
      </w:r>
      <w:r w:rsidRPr="00F0690B">
        <w:rPr>
          <w:rFonts w:ascii="Tahoma" w:hAnsi="Tahoma" w:cs="Tahoma"/>
        </w:rPr>
        <w:br/>
        <w:t>Splatnost poplatku</w:t>
      </w:r>
    </w:p>
    <w:p w:rsidR="00B80EB0" w:rsidRPr="00F0690B" w:rsidRDefault="009A0D78">
      <w:pPr>
        <w:pStyle w:val="Odstavec"/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Plátce odvede vybraný poplatek správci poplatku nejpozději do 15. dne následujícího měsíce.</w:t>
      </w:r>
    </w:p>
    <w:p w:rsidR="00332A4F" w:rsidRPr="00F0690B" w:rsidRDefault="00332A4F">
      <w:pPr>
        <w:pStyle w:val="Odstavec"/>
        <w:rPr>
          <w:rFonts w:ascii="Tahoma" w:hAnsi="Tahoma" w:cs="Tahoma"/>
          <w:sz w:val="24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lastRenderedPageBreak/>
        <w:t>Čl. 7</w:t>
      </w:r>
      <w:r w:rsidRPr="00F0690B">
        <w:rPr>
          <w:rFonts w:ascii="Tahoma" w:hAnsi="Tahoma" w:cs="Tahoma"/>
        </w:rPr>
        <w:br/>
        <w:t xml:space="preserve"> Osvobození</w:t>
      </w:r>
    </w:p>
    <w:p w:rsidR="00B80EB0" w:rsidRPr="00F0690B" w:rsidRDefault="009A0D78">
      <w:pPr>
        <w:pStyle w:val="Odstavec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Od poplatku z pobytu jsou osvobozeny osoby vymezené v zákoně o místních poplatcích</w:t>
      </w:r>
      <w:r w:rsidRPr="00F0690B">
        <w:rPr>
          <w:rStyle w:val="Znakapoznpodarou"/>
          <w:rFonts w:ascii="Tahoma" w:hAnsi="Tahoma" w:cs="Tahoma"/>
          <w:sz w:val="24"/>
          <w:szCs w:val="24"/>
        </w:rPr>
        <w:footnoteReference w:id="8"/>
      </w:r>
      <w:r w:rsidRPr="00F0690B">
        <w:rPr>
          <w:rFonts w:ascii="Tahoma" w:hAnsi="Tahoma" w:cs="Tahoma"/>
          <w:sz w:val="24"/>
          <w:szCs w:val="24"/>
        </w:rPr>
        <w:t>.</w:t>
      </w:r>
    </w:p>
    <w:p w:rsidR="000A3540" w:rsidRDefault="00332A4F" w:rsidP="00332A4F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Tahoma" w:hAnsi="Tahoma" w:cs="Tahoma"/>
          <w:szCs w:val="24"/>
        </w:rPr>
      </w:pPr>
      <w:r w:rsidRPr="00F0690B">
        <w:rPr>
          <w:rFonts w:ascii="Tahoma" w:hAnsi="Tahoma" w:cs="Tahoma"/>
          <w:szCs w:val="24"/>
        </w:rPr>
        <w:t>(</w:t>
      </w:r>
      <w:r w:rsidR="00D1161D">
        <w:rPr>
          <w:rFonts w:ascii="Tahoma" w:hAnsi="Tahoma" w:cs="Tahoma"/>
          <w:szCs w:val="24"/>
        </w:rPr>
        <w:t>2</w:t>
      </w:r>
      <w:r w:rsidRPr="00F0690B">
        <w:rPr>
          <w:rFonts w:ascii="Tahoma" w:hAnsi="Tahoma" w:cs="Tahoma"/>
          <w:szCs w:val="24"/>
        </w:rPr>
        <w:t xml:space="preserve">) </w:t>
      </w:r>
      <w:r w:rsidRPr="00F0690B">
        <w:rPr>
          <w:rFonts w:ascii="Tahoma" w:hAnsi="Tahoma" w:cs="Tahoma"/>
          <w:szCs w:val="24"/>
        </w:rPr>
        <w:tab/>
        <w:t xml:space="preserve">Od poplatku z pobytu jsou </w:t>
      </w:r>
      <w:r w:rsidR="00D1161D">
        <w:rPr>
          <w:rFonts w:ascii="Tahoma" w:hAnsi="Tahoma" w:cs="Tahoma"/>
          <w:szCs w:val="24"/>
        </w:rPr>
        <w:t xml:space="preserve">dále </w:t>
      </w:r>
      <w:r w:rsidRPr="00F0690B">
        <w:rPr>
          <w:rFonts w:ascii="Tahoma" w:hAnsi="Tahoma" w:cs="Tahoma"/>
          <w:szCs w:val="24"/>
        </w:rPr>
        <w:t>osvobozeni účastníci festivalu dechové hudby Kmochův Kolín.</w:t>
      </w:r>
    </w:p>
    <w:p w:rsidR="00F0690B" w:rsidRPr="00F0690B" w:rsidRDefault="00F0690B" w:rsidP="00332A4F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Tahoma" w:hAnsi="Tahoma" w:cs="Tahoma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8</w:t>
      </w:r>
      <w:r w:rsidRPr="00F0690B">
        <w:rPr>
          <w:rFonts w:ascii="Tahoma" w:hAnsi="Tahoma" w:cs="Tahoma"/>
        </w:rPr>
        <w:br/>
        <w:t xml:space="preserve"> Přechodné a zrušovací ustanovení</w:t>
      </w:r>
    </w:p>
    <w:p w:rsidR="00B80EB0" w:rsidRPr="00F0690B" w:rsidRDefault="009A0D78">
      <w:pPr>
        <w:pStyle w:val="Odstavec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Poplatkové povinnosti vzniklé před nabytím účinnosti této vyhlášky se posuzují podle dosavadních právních předpisů.</w:t>
      </w:r>
    </w:p>
    <w:p w:rsidR="00B80EB0" w:rsidRDefault="009A0D78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Zrušuje se obecně závazná vyhláška č. 09/2019, Obecně závazná vyhláška města Kolína o místním poplatku z pobytu ze dne 9. prosince 2019.</w:t>
      </w:r>
    </w:p>
    <w:p w:rsidR="00F0690B" w:rsidRPr="00F0690B" w:rsidRDefault="00F0690B" w:rsidP="00F0690B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B80EB0" w:rsidRPr="00F0690B" w:rsidRDefault="009A0D78">
      <w:pPr>
        <w:pStyle w:val="Nadpis2"/>
        <w:rPr>
          <w:rFonts w:ascii="Tahoma" w:hAnsi="Tahoma" w:cs="Tahoma"/>
        </w:rPr>
      </w:pPr>
      <w:r w:rsidRPr="00F0690B">
        <w:rPr>
          <w:rFonts w:ascii="Tahoma" w:hAnsi="Tahoma" w:cs="Tahoma"/>
        </w:rPr>
        <w:t>Čl. 9</w:t>
      </w:r>
      <w:r w:rsidRPr="00F0690B">
        <w:rPr>
          <w:rFonts w:ascii="Tahoma" w:hAnsi="Tahoma" w:cs="Tahoma"/>
        </w:rPr>
        <w:br/>
        <w:t>Účinnost</w:t>
      </w:r>
    </w:p>
    <w:p w:rsidR="00B80EB0" w:rsidRDefault="009A0D78">
      <w:pPr>
        <w:pStyle w:val="Odstavec"/>
        <w:rPr>
          <w:rFonts w:ascii="Tahoma" w:hAnsi="Tahoma" w:cs="Tahoma"/>
          <w:sz w:val="24"/>
          <w:szCs w:val="24"/>
        </w:rPr>
      </w:pPr>
      <w:r w:rsidRPr="00F0690B">
        <w:rPr>
          <w:rFonts w:ascii="Tahoma" w:hAnsi="Tahoma" w:cs="Tahoma"/>
          <w:sz w:val="24"/>
          <w:szCs w:val="24"/>
        </w:rPr>
        <w:t>Tato vyhláška nabývá účinnosti dnem 1. ledna 2024.</w:t>
      </w:r>
    </w:p>
    <w:p w:rsidR="00F0690B" w:rsidRDefault="00F0690B">
      <w:pPr>
        <w:pStyle w:val="Odstavec"/>
        <w:rPr>
          <w:rFonts w:ascii="Tahoma" w:hAnsi="Tahoma" w:cs="Tahoma"/>
          <w:sz w:val="24"/>
          <w:szCs w:val="24"/>
        </w:rPr>
      </w:pPr>
    </w:p>
    <w:p w:rsidR="00F0690B" w:rsidRPr="00F0690B" w:rsidRDefault="00F0690B">
      <w:pPr>
        <w:pStyle w:val="Odstavec"/>
        <w:rPr>
          <w:rFonts w:ascii="Tahoma" w:hAnsi="Tahoma" w:cs="Tahom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0EB0" w:rsidRPr="00F0690B" w:rsidTr="00D1161D">
        <w:trPr>
          <w:trHeight w:hRule="exact" w:val="1249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32A4F" w:rsidRPr="00F0690B" w:rsidRDefault="00332A4F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</w:p>
          <w:p w:rsidR="00332A4F" w:rsidRPr="00F0690B" w:rsidRDefault="00332A4F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</w:p>
          <w:p w:rsidR="00B80EB0" w:rsidRPr="00F0690B" w:rsidRDefault="002E6908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F0690B">
              <w:rPr>
                <w:rFonts w:ascii="Tahoma" w:hAnsi="Tahoma" w:cs="Tahoma"/>
                <w:sz w:val="24"/>
                <w:szCs w:val="24"/>
              </w:rPr>
              <w:t>Mgr. Michael Ka</w:t>
            </w:r>
            <w:r w:rsidR="009A0D78" w:rsidRPr="00F0690B">
              <w:rPr>
                <w:rFonts w:ascii="Tahoma" w:hAnsi="Tahoma" w:cs="Tahoma"/>
                <w:sz w:val="24"/>
                <w:szCs w:val="24"/>
              </w:rPr>
              <w:t>špar v. r.</w:t>
            </w:r>
            <w:r w:rsidR="009A0D78" w:rsidRPr="00F0690B">
              <w:rPr>
                <w:rFonts w:ascii="Tahoma" w:hAnsi="Tahoma" w:cs="Tahom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80EB0" w:rsidRPr="00F0690B" w:rsidRDefault="009A0D78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F0690B">
              <w:rPr>
                <w:rFonts w:ascii="Tahoma" w:hAnsi="Tahoma" w:cs="Tahoma"/>
                <w:sz w:val="24"/>
                <w:szCs w:val="24"/>
              </w:rPr>
              <w:t>Mgr. Iveta Mikšíková v. r.</w:t>
            </w:r>
            <w:r w:rsidRPr="00F0690B">
              <w:rPr>
                <w:rFonts w:ascii="Tahoma" w:hAnsi="Tahoma" w:cs="Tahoma"/>
                <w:sz w:val="24"/>
                <w:szCs w:val="24"/>
              </w:rPr>
              <w:br/>
              <w:t xml:space="preserve"> místostarostka</w:t>
            </w:r>
          </w:p>
        </w:tc>
      </w:tr>
    </w:tbl>
    <w:p w:rsidR="00FF05B1" w:rsidRPr="00F0690B" w:rsidRDefault="00FF05B1">
      <w:pPr>
        <w:rPr>
          <w:rFonts w:ascii="Tahoma" w:hAnsi="Tahoma" w:cs="Tahoma"/>
        </w:rPr>
      </w:pPr>
    </w:p>
    <w:sectPr w:rsidR="00FF05B1" w:rsidRPr="00F0690B" w:rsidSect="00332A4F">
      <w:pgSz w:w="11909" w:h="16834"/>
      <w:pgMar w:top="1134" w:right="156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09" w:rsidRDefault="003A0209">
      <w:r>
        <w:separator/>
      </w:r>
    </w:p>
  </w:endnote>
  <w:endnote w:type="continuationSeparator" w:id="0">
    <w:p w:rsidR="003A0209" w:rsidRDefault="003A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09" w:rsidRDefault="003A0209">
      <w:r>
        <w:rPr>
          <w:color w:val="000000"/>
        </w:rPr>
        <w:separator/>
      </w:r>
    </w:p>
  </w:footnote>
  <w:footnote w:type="continuationSeparator" w:id="0">
    <w:p w:rsidR="003A0209" w:rsidRDefault="003A0209">
      <w:r>
        <w:continuationSeparator/>
      </w:r>
    </w:p>
  </w:footnote>
  <w:footnote w:id="1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B80EB0" w:rsidRDefault="009A0D78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1CF"/>
    <w:multiLevelType w:val="multilevel"/>
    <w:tmpl w:val="68A872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B0"/>
    <w:rsid w:val="000A3540"/>
    <w:rsid w:val="00235F48"/>
    <w:rsid w:val="002E6908"/>
    <w:rsid w:val="00332A4F"/>
    <w:rsid w:val="003A0209"/>
    <w:rsid w:val="003D7470"/>
    <w:rsid w:val="00543F40"/>
    <w:rsid w:val="00967A5C"/>
    <w:rsid w:val="009A0D78"/>
    <w:rsid w:val="009A2EF0"/>
    <w:rsid w:val="009F60C9"/>
    <w:rsid w:val="00A21058"/>
    <w:rsid w:val="00B80EB0"/>
    <w:rsid w:val="00C45E60"/>
    <w:rsid w:val="00D1161D"/>
    <w:rsid w:val="00F0690B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2658A-AFB1-4004-955D-B695EAED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2A4F"/>
    <w:pPr>
      <w:keepNext/>
      <w:keepLines/>
      <w:numPr>
        <w:ilvl w:val="6"/>
        <w:numId w:val="6"/>
      </w:numPr>
      <w:suppressAutoHyphens w:val="0"/>
      <w:autoSpaceDN/>
      <w:spacing w:before="40"/>
      <w:jc w:val="both"/>
      <w:textAlignment w:val="auto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2A4F"/>
    <w:pPr>
      <w:keepNext/>
      <w:keepLines/>
      <w:numPr>
        <w:ilvl w:val="7"/>
        <w:numId w:val="6"/>
      </w:numPr>
      <w:suppressAutoHyphens w:val="0"/>
      <w:autoSpaceDN/>
      <w:spacing w:before="40"/>
      <w:jc w:val="both"/>
      <w:textAlignment w:val="auto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2A4F"/>
    <w:pPr>
      <w:keepNext/>
      <w:keepLines/>
      <w:numPr>
        <w:ilvl w:val="8"/>
        <w:numId w:val="6"/>
      </w:numPr>
      <w:suppressAutoHyphens w:val="0"/>
      <w:autoSpaceDN/>
      <w:spacing w:before="40"/>
      <w:jc w:val="both"/>
      <w:textAlignment w:val="auto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2A4F"/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2A4F"/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2A4F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332A4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A4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Paragraf">
    <w:name w:val="Paragraf"/>
    <w:basedOn w:val="Normln"/>
    <w:next w:val="Textodstavce"/>
    <w:rsid w:val="00332A4F"/>
    <w:pPr>
      <w:keepNext/>
      <w:keepLines/>
      <w:numPr>
        <w:numId w:val="6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332A4F"/>
    <w:pPr>
      <w:keepNext/>
      <w:keepLines/>
      <w:numPr>
        <w:ilvl w:val="1"/>
        <w:numId w:val="6"/>
      </w:numPr>
      <w:suppressAutoHyphens w:val="0"/>
      <w:autoSpaceDN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332A4F"/>
    <w:pPr>
      <w:numPr>
        <w:ilvl w:val="4"/>
        <w:numId w:val="6"/>
      </w:numPr>
      <w:suppressAutoHyphens w:val="0"/>
      <w:autoSpaceDN/>
      <w:jc w:val="both"/>
      <w:textAlignment w:val="auto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32A4F"/>
    <w:pPr>
      <w:numPr>
        <w:ilvl w:val="3"/>
        <w:numId w:val="6"/>
      </w:numPr>
      <w:suppressAutoHyphens w:val="0"/>
      <w:autoSpaceDN/>
      <w:jc w:val="both"/>
      <w:textAlignment w:val="auto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32A4F"/>
    <w:pPr>
      <w:numPr>
        <w:ilvl w:val="2"/>
        <w:numId w:val="6"/>
      </w:numPr>
      <w:tabs>
        <w:tab w:val="left" w:pos="851"/>
      </w:tabs>
      <w:suppressAutoHyphens w:val="0"/>
      <w:autoSpaceDN/>
      <w:spacing w:before="120" w:after="120"/>
      <w:jc w:val="both"/>
      <w:textAlignment w:val="auto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EF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F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Villner Petr</dc:creator>
  <cp:lastModifiedBy>Holovská Michaela</cp:lastModifiedBy>
  <cp:revision>2</cp:revision>
  <cp:lastPrinted>2023-12-07T06:37:00Z</cp:lastPrinted>
  <dcterms:created xsi:type="dcterms:W3CDTF">2023-12-07T06:38:00Z</dcterms:created>
  <dcterms:modified xsi:type="dcterms:W3CDTF">2023-12-07T06:38:00Z</dcterms:modified>
</cp:coreProperties>
</file>