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7D8F" w:rsidRDefault="00852783">
      <w:pPr>
        <w:pStyle w:val="Nzev"/>
      </w:pPr>
      <w:bookmarkStart w:id="0" w:name="_Toc531583387"/>
      <w:bookmarkStart w:id="1" w:name="_Toc531581088"/>
      <w:bookmarkEnd w:id="0"/>
      <w:r>
        <w:rPr>
          <w:caps/>
          <w:sz w:val="32"/>
          <w:szCs w:val="32"/>
        </w:rPr>
        <w:t>vyhláška Zastupitelstva města Plzně</w:t>
      </w:r>
      <w:bookmarkEnd w:id="1"/>
    </w:p>
    <w:p w:rsidR="00EC7D8F" w:rsidRDefault="00852783">
      <w:pPr>
        <w:spacing w:after="120"/>
        <w:jc w:val="center"/>
      </w:pPr>
      <w:r>
        <w:rPr>
          <w:rFonts w:ascii="Goudy Old Style ATT" w:hAnsi="Goudy Old Style ATT"/>
          <w:b/>
          <w:bCs/>
          <w:color w:val="000000"/>
          <w:sz w:val="30"/>
          <w:szCs w:val="30"/>
        </w:rPr>
        <w:t> č. 3/2013</w:t>
      </w:r>
    </w:p>
    <w:p w:rsidR="00EC7D8F" w:rsidRDefault="00852783">
      <w:pPr>
        <w:spacing w:after="120"/>
        <w:jc w:val="both"/>
      </w:pPr>
      <w:r>
        <w:rPr>
          <w:rFonts w:ascii="Goudy Old Style ATT" w:hAnsi="Goudy Old Style ATT"/>
          <w:color w:val="000000"/>
          <w:spacing w:val="4"/>
          <w:sz w:val="26"/>
          <w:szCs w:val="26"/>
        </w:rPr>
        <w:t xml:space="preserve">            Zastupitelstvo města Plzně svým usnesením č. 284 ze dne 20. 6. 2013 schválilo podle čl. 104 odst. 3 Ústavy České republiky č. 1/1993 Sb. a § 130 a následujících zákona č. 128/2000 Sb., o obcích, tuto obecně závaznou vyhlášku: </w:t>
      </w:r>
    </w:p>
    <w:p w:rsidR="00EC7D8F" w:rsidRDefault="00852783">
      <w:pPr>
        <w:spacing w:after="120"/>
        <w:jc w:val="both"/>
      </w:pPr>
      <w:r>
        <w:rPr>
          <w:rFonts w:ascii="Goudy Old Style ATT" w:hAnsi="Goudy Old Style ATT"/>
          <w:color w:val="000000"/>
          <w:spacing w:val="4"/>
          <w:sz w:val="26"/>
          <w:szCs w:val="26"/>
        </w:rPr>
        <w:t> </w:t>
      </w:r>
    </w:p>
    <w:p w:rsidR="00EC7D8F" w:rsidRDefault="00852783">
      <w:pPr>
        <w:spacing w:after="120"/>
        <w:jc w:val="center"/>
      </w:pPr>
      <w:r>
        <w:rPr>
          <w:rFonts w:ascii="Goudy Old Style ATT" w:hAnsi="Goudy Old Style ATT"/>
          <w:b/>
          <w:bCs/>
          <w:caps/>
          <w:color w:val="000000"/>
          <w:spacing w:val="20"/>
          <w:sz w:val="34"/>
          <w:szCs w:val="34"/>
        </w:rPr>
        <w:t>o změnách a doplnění vyhlášky statutárního města Plzně č. 8/2001, Statut města</w:t>
      </w:r>
    </w:p>
    <w:p w:rsidR="00EC7D8F" w:rsidRDefault="00852783">
      <w:pPr>
        <w:spacing w:after="120"/>
        <w:jc w:val="center"/>
      </w:pPr>
      <w:r>
        <w:rPr>
          <w:rFonts w:ascii="Goudy Old Style ATT" w:hAnsi="Goudy Old Style ATT"/>
          <w:color w:val="000000"/>
          <w:sz w:val="16"/>
          <w:szCs w:val="16"/>
        </w:rPr>
        <w:t> </w:t>
      </w:r>
    </w:p>
    <w:p w:rsidR="00EC7D8F" w:rsidRDefault="00852783">
      <w:pPr>
        <w:spacing w:after="120"/>
        <w:jc w:val="center"/>
      </w:pPr>
      <w:r>
        <w:rPr>
          <w:rFonts w:ascii="Goudy Old Style ATT" w:hAnsi="Goudy Old Style ATT"/>
          <w:color w:val="000000"/>
          <w:sz w:val="16"/>
          <w:szCs w:val="16"/>
        </w:rPr>
        <w:t> </w:t>
      </w:r>
    </w:p>
    <w:p w:rsidR="00EC7D8F" w:rsidRDefault="00852783">
      <w:pPr>
        <w:pStyle w:val="Nadpis8"/>
      </w:pPr>
      <w:r>
        <w:t>Článek 1</w:t>
      </w:r>
    </w:p>
    <w:p w:rsidR="00EC7D8F" w:rsidRDefault="00852783">
      <w:pPr>
        <w:pStyle w:val="Nadpis8"/>
        <w:spacing w:after="120"/>
      </w:pPr>
      <w:r>
        <w:t>Změny a doplnění Statutu města</w:t>
      </w:r>
    </w:p>
    <w:p w:rsidR="00EC7D8F" w:rsidRDefault="00852783">
      <w:pPr>
        <w:pStyle w:val="Zkladntext2"/>
        <w:spacing w:after="120"/>
      </w:pPr>
      <w:r>
        <w:rPr>
          <w:rFonts w:ascii="Goudy Old Style ATT" w:hAnsi="Goudy Old Style ATT"/>
        </w:rPr>
        <w:t>            Vyhláška statutárního města Plzně č. 8/2001, Statut města, ve znění vyhlášky č. 12/2002, vyhlášky č. 3/2004, vyhlášky č. 20/2004, vyhlášky č. 17/2005, vyhlášky č. 14/2006, vyhlášky č. 20/2006, vyhlášky č. 1/2009, vyhlášky č. 3/2010, vyhlášky č. 14/2011 a vyhlášky č. 9/2012 se mění a doplňuje takto:</w:t>
      </w:r>
    </w:p>
    <w:p w:rsidR="00EC7D8F" w:rsidRDefault="00852783">
      <w:pPr>
        <w:pStyle w:val="Zkladntext2"/>
        <w:spacing w:after="120"/>
      </w:pPr>
      <w:r>
        <w:rPr>
          <w:rFonts w:ascii="Goudy Old Style ATT" w:hAnsi="Goudy Old Style ATT"/>
        </w:rPr>
        <w:t> </w:t>
      </w:r>
    </w:p>
    <w:p w:rsidR="00EC7D8F" w:rsidRDefault="00852783">
      <w:pPr>
        <w:spacing w:after="120"/>
        <w:jc w:val="both"/>
      </w:pPr>
      <w:r>
        <w:rPr>
          <w:b/>
          <w:bCs/>
          <w:color w:val="000000"/>
          <w:sz w:val="14"/>
          <w:szCs w:val="14"/>
        </w:rPr>
        <w:t xml:space="preserve">        </w:t>
      </w:r>
      <w:r>
        <w:rPr>
          <w:b/>
          <w:bCs/>
          <w:color w:val="000000"/>
        </w:rPr>
        <w:t>1.</w:t>
      </w:r>
      <w:r>
        <w:rPr>
          <w:b/>
          <w:bCs/>
          <w:color w:val="000000"/>
          <w:sz w:val="14"/>
          <w:szCs w:val="14"/>
        </w:rPr>
        <w:t xml:space="preserve">          </w:t>
      </w:r>
      <w:r>
        <w:rPr>
          <w:rFonts w:ascii="Goudy Old Style ATT" w:hAnsi="Goudy Old Style ATT"/>
          <w:color w:val="000000"/>
        </w:rPr>
        <w:t xml:space="preserve">V Příloze č. 3, čl. 1 bodu 8. se za slova „areálu požárního cvičiště SDH Bolevec“ vkládají slova „sestávající z budovy bez č. e. na pozemku </w:t>
      </w:r>
      <w:proofErr w:type="spellStart"/>
      <w:r>
        <w:rPr>
          <w:rFonts w:ascii="Goudy Old Style ATT" w:hAnsi="Goudy Old Style ATT"/>
          <w:color w:val="000000"/>
        </w:rPr>
        <w:t>p.č</w:t>
      </w:r>
      <w:proofErr w:type="spellEnd"/>
      <w:r>
        <w:rPr>
          <w:rFonts w:ascii="Goudy Old Style ATT" w:hAnsi="Goudy Old Style ATT"/>
          <w:color w:val="000000"/>
        </w:rPr>
        <w:t>. 1720/6 a“.</w:t>
      </w:r>
    </w:p>
    <w:p w:rsidR="00EC7D8F" w:rsidRDefault="00852783">
      <w:pPr>
        <w:spacing w:after="120"/>
        <w:ind w:left="426"/>
        <w:jc w:val="both"/>
      </w:pPr>
      <w:r>
        <w:rPr>
          <w:rFonts w:ascii="Goudy Old Style ATT" w:hAnsi="Goudy Old Style ATT"/>
          <w:color w:val="000000"/>
        </w:rPr>
        <w:t> </w:t>
      </w:r>
    </w:p>
    <w:p w:rsidR="00EC7D8F" w:rsidRDefault="00852783">
      <w:pPr>
        <w:spacing w:after="120"/>
        <w:jc w:val="both"/>
      </w:pPr>
      <w:r>
        <w:rPr>
          <w:b/>
          <w:bCs/>
          <w:color w:val="000000"/>
          <w:sz w:val="14"/>
          <w:szCs w:val="14"/>
        </w:rPr>
        <w:t xml:space="preserve">        </w:t>
      </w:r>
      <w:r>
        <w:rPr>
          <w:b/>
          <w:bCs/>
          <w:color w:val="000000"/>
        </w:rPr>
        <w:t>2.</w:t>
      </w:r>
      <w:r>
        <w:rPr>
          <w:b/>
          <w:bCs/>
          <w:color w:val="000000"/>
          <w:sz w:val="14"/>
          <w:szCs w:val="14"/>
        </w:rPr>
        <w:t xml:space="preserve">          </w:t>
      </w:r>
      <w:r>
        <w:rPr>
          <w:rFonts w:ascii="Goudy Old Style ATT" w:hAnsi="Goudy Old Style ATT"/>
          <w:color w:val="000000"/>
        </w:rPr>
        <w:t>V Příloze č. 3, čl. 2 bodu 25. se za slova „Pozemky p. č. 1188, p. č. 1189, p. č. 255/10, p. č. 1387/1“ vkládají slova „a spoluvlastnický podíl ve výši 36/40 k pozemku“.</w:t>
      </w:r>
    </w:p>
    <w:p w:rsidR="00EC7D8F" w:rsidRDefault="00852783">
      <w:pPr>
        <w:spacing w:after="120"/>
        <w:jc w:val="both"/>
      </w:pPr>
      <w:r>
        <w:rPr>
          <w:rFonts w:ascii="Goudy Old Style ATT" w:hAnsi="Goudy Old Style ATT"/>
          <w:color w:val="000000"/>
        </w:rPr>
        <w:t> </w:t>
      </w:r>
    </w:p>
    <w:p w:rsidR="00EC7D8F" w:rsidRDefault="00852783">
      <w:pPr>
        <w:spacing w:after="120"/>
        <w:jc w:val="both"/>
      </w:pPr>
      <w:r>
        <w:rPr>
          <w:b/>
          <w:bCs/>
          <w:color w:val="000000"/>
          <w:sz w:val="14"/>
          <w:szCs w:val="14"/>
        </w:rPr>
        <w:t xml:space="preserve">        </w:t>
      </w:r>
      <w:r>
        <w:rPr>
          <w:b/>
          <w:bCs/>
          <w:color w:val="000000"/>
        </w:rPr>
        <w:t>3.</w:t>
      </w:r>
      <w:r>
        <w:rPr>
          <w:b/>
          <w:bCs/>
          <w:color w:val="000000"/>
          <w:sz w:val="14"/>
          <w:szCs w:val="14"/>
        </w:rPr>
        <w:t xml:space="preserve">          </w:t>
      </w:r>
      <w:r>
        <w:rPr>
          <w:rFonts w:ascii="Goudy Old Style ATT" w:hAnsi="Goudy Old Style ATT"/>
          <w:color w:val="000000"/>
        </w:rPr>
        <w:t>V Příloze č. 3, čl. 3 se na konec článku vkládá nový bod 43., který zní:</w:t>
      </w:r>
    </w:p>
    <w:p w:rsidR="00EC7D8F" w:rsidRDefault="00852783">
      <w:pPr>
        <w:spacing w:after="120"/>
        <w:jc w:val="both"/>
      </w:pPr>
      <w:r>
        <w:rPr>
          <w:rFonts w:ascii="Goudy Old Style ATT" w:hAnsi="Goudy Old Style ATT"/>
          <w:color w:val="000000"/>
        </w:rPr>
        <w:t xml:space="preserve">„43.     Garáže na pozemcích p. č. 10142/2, 3, 4, 5, vše k. </w:t>
      </w:r>
      <w:proofErr w:type="spellStart"/>
      <w:r>
        <w:rPr>
          <w:rFonts w:ascii="Goudy Old Style ATT" w:hAnsi="Goudy Old Style ATT"/>
          <w:color w:val="000000"/>
        </w:rPr>
        <w:t>ú.</w:t>
      </w:r>
      <w:proofErr w:type="spellEnd"/>
      <w:r>
        <w:rPr>
          <w:rFonts w:ascii="Goudy Old Style ATT" w:hAnsi="Goudy Old Style ATT"/>
          <w:color w:val="000000"/>
        </w:rPr>
        <w:t xml:space="preserve"> Plzeň.“.</w:t>
      </w:r>
    </w:p>
    <w:p w:rsidR="00EC7D8F" w:rsidRDefault="00852783">
      <w:pPr>
        <w:spacing w:after="120"/>
        <w:jc w:val="both"/>
      </w:pPr>
      <w:r>
        <w:rPr>
          <w:rFonts w:ascii="Goudy Old Style ATT" w:hAnsi="Goudy Old Style ATT"/>
          <w:color w:val="000000"/>
        </w:rPr>
        <w:t> </w:t>
      </w:r>
    </w:p>
    <w:p w:rsidR="00EC7D8F" w:rsidRDefault="00852783">
      <w:pPr>
        <w:spacing w:after="120"/>
        <w:jc w:val="both"/>
      </w:pPr>
      <w:r>
        <w:rPr>
          <w:b/>
          <w:bCs/>
          <w:color w:val="000000"/>
          <w:sz w:val="14"/>
          <w:szCs w:val="14"/>
        </w:rPr>
        <w:t xml:space="preserve">        </w:t>
      </w:r>
      <w:r>
        <w:rPr>
          <w:b/>
          <w:bCs/>
          <w:color w:val="000000"/>
        </w:rPr>
        <w:t>4.</w:t>
      </w:r>
      <w:r>
        <w:rPr>
          <w:b/>
          <w:bCs/>
          <w:color w:val="000000"/>
          <w:sz w:val="14"/>
          <w:szCs w:val="14"/>
        </w:rPr>
        <w:t xml:space="preserve">          </w:t>
      </w:r>
      <w:r>
        <w:rPr>
          <w:rFonts w:ascii="Goudy Old Style ATT" w:hAnsi="Goudy Old Style ATT"/>
          <w:color w:val="000000"/>
        </w:rPr>
        <w:t xml:space="preserve">V Příloze č. 6, čl. 2 zní: </w:t>
      </w:r>
    </w:p>
    <w:p w:rsidR="00EC7D8F" w:rsidRDefault="00852783">
      <w:pPr>
        <w:pStyle w:val="Nadpis4"/>
        <w:spacing w:before="240"/>
        <w:rPr>
          <w:rFonts w:eastAsia="Times New Roman"/>
        </w:rPr>
      </w:pPr>
      <w:r>
        <w:rPr>
          <w:rFonts w:ascii="Goudy Old Style ATT" w:eastAsia="Times New Roman" w:hAnsi="Goudy Old Style ATT"/>
          <w:b w:val="0"/>
          <w:bCs w:val="0"/>
          <w:spacing w:val="4"/>
        </w:rPr>
        <w:t>„</w:t>
      </w:r>
      <w:r>
        <w:rPr>
          <w:rFonts w:ascii="Goudy Old Style ATT" w:eastAsia="Times New Roman" w:hAnsi="Goudy Old Style ATT"/>
          <w:spacing w:val="4"/>
        </w:rPr>
        <w:t>Článek 2</w:t>
      </w:r>
    </w:p>
    <w:p w:rsidR="00EC7D8F" w:rsidRDefault="00852783">
      <w:pPr>
        <w:pStyle w:val="Nadpis4"/>
        <w:spacing w:after="120"/>
        <w:rPr>
          <w:rFonts w:eastAsia="Times New Roman"/>
        </w:rPr>
      </w:pPr>
      <w:r>
        <w:rPr>
          <w:rFonts w:ascii="Goudy Old Style ATT" w:eastAsia="Times New Roman" w:hAnsi="Goudy Old Style ATT"/>
          <w:spacing w:val="4"/>
        </w:rPr>
        <w:t xml:space="preserve">Územní plánování, stavební řád a vyvlastnění </w:t>
      </w:r>
    </w:p>
    <w:p w:rsidR="00EC7D8F" w:rsidRDefault="00852783">
      <w:pPr>
        <w:spacing w:after="120" w:line="276" w:lineRule="auto"/>
        <w:ind w:firstLine="709"/>
        <w:jc w:val="both"/>
      </w:pPr>
      <w:r>
        <w:t xml:space="preserve">(1) </w:t>
      </w:r>
      <w:r>
        <w:rPr>
          <w:rFonts w:ascii="Goudy Old Style ATT" w:hAnsi="Goudy Old Style ATT"/>
        </w:rPr>
        <w:t>Plní úkoly úřadu územního plánování.</w:t>
      </w:r>
    </w:p>
    <w:p w:rsidR="00EC7D8F" w:rsidRDefault="00852783">
      <w:pPr>
        <w:spacing w:after="120" w:line="276" w:lineRule="auto"/>
        <w:ind w:firstLine="709"/>
        <w:jc w:val="both"/>
      </w:pPr>
      <w:r>
        <w:t xml:space="preserve">(2) </w:t>
      </w:r>
      <w:r>
        <w:rPr>
          <w:rFonts w:ascii="Goudy Old Style ATT" w:hAnsi="Goudy Old Style ATT"/>
        </w:rPr>
        <w:t>Vydávají územní rozhodnutí vyjma územních rozhodnutí, která vydávají orgány městských obvodů dle přílohy č. 7, čl. 2 odst. 3 Statutu. Vydávají územní souhlasy v případě změn druhu pozemku o výměře nad 300 m</w:t>
      </w:r>
      <w:r>
        <w:rPr>
          <w:rFonts w:ascii="Goudy Old Style ATT" w:hAnsi="Goudy Old Style ATT"/>
          <w:vertAlign w:val="superscript"/>
        </w:rPr>
        <w:t>2</w:t>
      </w:r>
      <w:r>
        <w:rPr>
          <w:rFonts w:ascii="Goudy Old Style ATT" w:hAnsi="Goudy Old Style ATT"/>
        </w:rPr>
        <w:t xml:space="preserve"> nejvíce však do 1000 m</w:t>
      </w:r>
      <w:r>
        <w:rPr>
          <w:rFonts w:ascii="Goudy Old Style ATT" w:hAnsi="Goudy Old Style ATT"/>
          <w:vertAlign w:val="superscript"/>
        </w:rPr>
        <w:t>2</w:t>
      </w:r>
      <w:r>
        <w:rPr>
          <w:rFonts w:ascii="Goudy Old Style ATT" w:hAnsi="Goudy Old Style ATT"/>
        </w:rPr>
        <w:t>. Uzavírají veřejnoprávní smlouvy nahrazující územní rozhodnutí.</w:t>
      </w:r>
    </w:p>
    <w:p w:rsidR="00EC7D8F" w:rsidRDefault="00852783">
      <w:pPr>
        <w:spacing w:after="120" w:line="276" w:lineRule="auto"/>
        <w:ind w:firstLine="709"/>
        <w:jc w:val="both"/>
      </w:pPr>
      <w:r>
        <w:t xml:space="preserve">(3) </w:t>
      </w:r>
      <w:r>
        <w:rPr>
          <w:rFonts w:ascii="Goudy Old Style ATT" w:hAnsi="Goudy Old Style ATT"/>
        </w:rPr>
        <w:t>Poskytují územně plánovací informace.</w:t>
      </w:r>
    </w:p>
    <w:p w:rsidR="00EC7D8F" w:rsidRDefault="00852783">
      <w:pPr>
        <w:spacing w:after="120" w:line="276" w:lineRule="auto"/>
        <w:ind w:firstLine="709"/>
        <w:jc w:val="both"/>
      </w:pPr>
      <w:r>
        <w:t xml:space="preserve">(4) </w:t>
      </w:r>
      <w:r>
        <w:rPr>
          <w:rFonts w:ascii="Goudy Old Style ATT" w:hAnsi="Goudy Old Style ATT"/>
        </w:rPr>
        <w:t>Rozhodují o žádostech o dělení či scelování pozemků.</w:t>
      </w:r>
    </w:p>
    <w:p w:rsidR="00EC7D8F" w:rsidRDefault="00852783">
      <w:pPr>
        <w:spacing w:after="120" w:line="276" w:lineRule="auto"/>
        <w:ind w:firstLine="709"/>
        <w:jc w:val="both"/>
      </w:pPr>
      <w:r>
        <w:t xml:space="preserve">(5) </w:t>
      </w:r>
      <w:r>
        <w:rPr>
          <w:rFonts w:ascii="Goudy Old Style ATT" w:hAnsi="Goudy Old Style ATT"/>
        </w:rPr>
        <w:t>Povolují těžební práce v působnosti stavebních úřadů.</w:t>
      </w:r>
    </w:p>
    <w:p w:rsidR="00EC7D8F" w:rsidRDefault="00852783">
      <w:pPr>
        <w:spacing w:after="120" w:line="276" w:lineRule="auto"/>
        <w:ind w:firstLine="709"/>
        <w:jc w:val="both"/>
      </w:pPr>
      <w:r>
        <w:lastRenderedPageBreak/>
        <w:t xml:space="preserve">(6) </w:t>
      </w:r>
      <w:r>
        <w:rPr>
          <w:rFonts w:ascii="Goudy Old Style ATT" w:hAnsi="Goudy Old Style ATT"/>
        </w:rPr>
        <w:t>Plní úkoly speciálního stavebního úřadu u staveb vodních děl vyjma staveb studní zřizovaných pro potřeby jednotlivých fyzických osob a domácností.</w:t>
      </w:r>
    </w:p>
    <w:p w:rsidR="00EC7D8F" w:rsidRDefault="00852783">
      <w:pPr>
        <w:spacing w:after="120" w:line="276" w:lineRule="auto"/>
        <w:ind w:firstLine="709"/>
        <w:jc w:val="both"/>
      </w:pPr>
      <w:r>
        <w:t xml:space="preserve">(7) </w:t>
      </w:r>
      <w:r>
        <w:rPr>
          <w:rFonts w:ascii="Goudy Old Style ATT" w:hAnsi="Goudy Old Style ATT"/>
        </w:rPr>
        <w:t>Plní úkoly speciálního stavebního úřadu u staveb pozemních komunikací s výjimkou silnic I. třídy, místních komunikací IV. třídy a účelových komunikací.</w:t>
      </w:r>
    </w:p>
    <w:p w:rsidR="00EC7D8F" w:rsidRDefault="00852783">
      <w:pPr>
        <w:spacing w:after="120" w:line="276" w:lineRule="auto"/>
        <w:ind w:firstLine="709"/>
        <w:jc w:val="both"/>
      </w:pPr>
      <w:r>
        <w:t xml:space="preserve">(8) </w:t>
      </w:r>
      <w:r>
        <w:rPr>
          <w:rFonts w:ascii="Goudy Old Style ATT" w:hAnsi="Goudy Old Style ATT"/>
        </w:rPr>
        <w:t>Vykonávají působnost svěřenou městským obvodům dle přílohy č. 7 Statutu jako obecný stavební úřad, speciální stavební úřadu u staveb vodních děl nebo speciální stavební úřad u staveb pozemních komunikací, pokud si tuto působnost pro konkrétní případ vyhradí v souladu se zákonem.</w:t>
      </w:r>
    </w:p>
    <w:p w:rsidR="00EC7D8F" w:rsidRDefault="00852783">
      <w:pPr>
        <w:spacing w:after="120" w:line="276" w:lineRule="auto"/>
        <w:ind w:firstLine="709"/>
        <w:jc w:val="both"/>
      </w:pPr>
      <w:r>
        <w:t xml:space="preserve">(9) </w:t>
      </w:r>
      <w:r>
        <w:rPr>
          <w:rFonts w:ascii="Goudy Old Style ATT" w:hAnsi="Goudy Old Style ATT"/>
        </w:rPr>
        <w:t>Vedou stavební archiv pro celé území města.</w:t>
      </w:r>
    </w:p>
    <w:p w:rsidR="00EC7D8F" w:rsidRDefault="00852783">
      <w:pPr>
        <w:spacing w:after="120" w:line="276" w:lineRule="auto"/>
        <w:ind w:firstLine="709"/>
        <w:jc w:val="both"/>
      </w:pPr>
      <w:r>
        <w:t xml:space="preserve">(10) </w:t>
      </w:r>
      <w:r>
        <w:rPr>
          <w:rFonts w:ascii="Goudy Old Style ATT" w:hAnsi="Goudy Old Style ATT"/>
        </w:rPr>
        <w:t>Plní úkoly vyvlastňovacího úřadu dle zákona o vyvlastnění.</w:t>
      </w:r>
    </w:p>
    <w:p w:rsidR="00EC7D8F" w:rsidRDefault="00852783">
      <w:pPr>
        <w:pStyle w:val="Nadpis4"/>
        <w:spacing w:before="240" w:after="200" w:line="276" w:lineRule="auto"/>
        <w:ind w:firstLine="709"/>
        <w:jc w:val="both"/>
        <w:rPr>
          <w:rFonts w:eastAsia="Times New Roman"/>
        </w:rPr>
      </w:pPr>
      <w:r>
        <w:rPr>
          <w:rFonts w:eastAsia="Times New Roman"/>
          <w:b w:val="0"/>
          <w:bCs w:val="0"/>
        </w:rPr>
        <w:t xml:space="preserve">(11) </w:t>
      </w:r>
      <w:r>
        <w:rPr>
          <w:rFonts w:ascii="Goudy Old Style ATT" w:eastAsia="Times New Roman" w:hAnsi="Goudy Old Style ATT"/>
          <w:b w:val="0"/>
          <w:bCs w:val="0"/>
        </w:rPr>
        <w:t>Rozhodují o povolení výjimek pro správní akty vydávané orgány celoměstskými.“.</w:t>
      </w:r>
    </w:p>
    <w:p w:rsidR="00EC7D8F" w:rsidRDefault="00852783">
      <w:pPr>
        <w:pStyle w:val="Nadpis4"/>
        <w:spacing w:before="240"/>
        <w:jc w:val="both"/>
        <w:rPr>
          <w:rFonts w:eastAsia="Times New Roman"/>
        </w:rPr>
      </w:pPr>
      <w:r>
        <w:rPr>
          <w:rFonts w:ascii="Goudy Old Style ATT" w:eastAsia="Times New Roman" w:hAnsi="Goudy Old Style ATT"/>
          <w:spacing w:val="4"/>
        </w:rPr>
        <w:t> </w:t>
      </w:r>
    </w:p>
    <w:p w:rsidR="00EC7D8F" w:rsidRDefault="00852783">
      <w:pPr>
        <w:spacing w:after="120"/>
        <w:jc w:val="both"/>
      </w:pPr>
      <w:r>
        <w:rPr>
          <w:b/>
          <w:bCs/>
          <w:color w:val="000000"/>
          <w:sz w:val="14"/>
          <w:szCs w:val="14"/>
        </w:rPr>
        <w:t xml:space="preserve">        </w:t>
      </w:r>
      <w:r>
        <w:rPr>
          <w:b/>
          <w:bCs/>
          <w:color w:val="000000"/>
        </w:rPr>
        <w:t>5.</w:t>
      </w:r>
      <w:r>
        <w:rPr>
          <w:b/>
          <w:bCs/>
          <w:color w:val="000000"/>
          <w:sz w:val="14"/>
          <w:szCs w:val="14"/>
        </w:rPr>
        <w:t xml:space="preserve">          </w:t>
      </w:r>
      <w:r>
        <w:rPr>
          <w:rFonts w:ascii="Goudy Old Style ATT" w:hAnsi="Goudy Old Style ATT"/>
          <w:color w:val="000000"/>
        </w:rPr>
        <w:t xml:space="preserve">V Příloze č. 7, čl. 2 včetně poznámky pod čarou č. </w:t>
      </w:r>
      <w:proofErr w:type="gramStart"/>
      <w:r>
        <w:rPr>
          <w:rFonts w:ascii="Goudy Old Style ATT" w:hAnsi="Goudy Old Style ATT"/>
          <w:color w:val="000000"/>
        </w:rPr>
        <w:t>41a</w:t>
      </w:r>
      <w:proofErr w:type="gramEnd"/>
      <w:r>
        <w:rPr>
          <w:rFonts w:ascii="Goudy Old Style ATT" w:hAnsi="Goudy Old Style ATT"/>
          <w:color w:val="000000"/>
        </w:rPr>
        <w:t xml:space="preserve">) zní: </w:t>
      </w:r>
    </w:p>
    <w:p w:rsidR="00EC7D8F" w:rsidRDefault="00852783">
      <w:pPr>
        <w:pStyle w:val="Nadpis4"/>
        <w:spacing w:before="240" w:after="120"/>
        <w:rPr>
          <w:rFonts w:eastAsia="Times New Roman"/>
        </w:rPr>
      </w:pPr>
      <w:r>
        <w:rPr>
          <w:rFonts w:ascii="Goudy Old Style ATT" w:eastAsia="Times New Roman" w:hAnsi="Goudy Old Style ATT"/>
          <w:b w:val="0"/>
          <w:bCs w:val="0"/>
          <w:spacing w:val="4"/>
        </w:rPr>
        <w:t>„</w:t>
      </w:r>
      <w:r>
        <w:rPr>
          <w:rFonts w:ascii="Goudy Old Style ATT" w:eastAsia="Times New Roman" w:hAnsi="Goudy Old Style ATT"/>
          <w:spacing w:val="4"/>
        </w:rPr>
        <w:t>Článek 2</w:t>
      </w:r>
      <w:r>
        <w:rPr>
          <w:rFonts w:ascii="Goudy Old Style ATT" w:eastAsia="Times New Roman" w:hAnsi="Goudy Old Style ATT"/>
          <w:spacing w:val="4"/>
        </w:rPr>
        <w:br/>
        <w:t>Územní plánování a stavební řád</w:t>
      </w:r>
    </w:p>
    <w:p w:rsidR="00EC7D8F" w:rsidRDefault="00852783">
      <w:pPr>
        <w:spacing w:after="120"/>
        <w:ind w:firstLine="709"/>
        <w:jc w:val="both"/>
      </w:pPr>
      <w:r>
        <w:rPr>
          <w:rFonts w:ascii="Goudy Old Style ATT" w:hAnsi="Goudy Old Style ATT"/>
        </w:rPr>
        <w:t>(1) Vyjadřují se k územně plánovacím podkladům a zajišťují stanovisko zastupitelstva městského obvodu k územně plánovací dokumentaci. Po dohodě s městem mohou některé územně plánovací podklady připravovat.</w:t>
      </w:r>
    </w:p>
    <w:p w:rsidR="00EC7D8F" w:rsidRDefault="00852783">
      <w:pPr>
        <w:spacing w:after="120"/>
        <w:ind w:firstLine="709"/>
        <w:jc w:val="both"/>
      </w:pPr>
      <w:r>
        <w:rPr>
          <w:rFonts w:ascii="Goudy Old Style ATT" w:hAnsi="Goudy Old Style ATT"/>
        </w:rPr>
        <w:t xml:space="preserve">(2) Plní úkoly obecného stavebního úřadu s výjimkou činností, které si vyhradilo město v příloze č. 6 Statutu, a těch činností, které si orgán celoměstský jako stavební úřad vyhradí dle zákona. </w:t>
      </w:r>
    </w:p>
    <w:p w:rsidR="00EC7D8F" w:rsidRDefault="00852783">
      <w:pPr>
        <w:spacing w:after="120"/>
        <w:ind w:firstLine="709"/>
        <w:jc w:val="both"/>
      </w:pPr>
      <w:r>
        <w:rPr>
          <w:rFonts w:ascii="Goudy Old Style ATT" w:hAnsi="Goudy Old Style ATT"/>
        </w:rPr>
        <w:t>(3) Vydávají územní souhlas vyjma územního souhlasu v případě změny druhu pozemku o výměře nad 300 m</w:t>
      </w:r>
      <w:r>
        <w:rPr>
          <w:rFonts w:ascii="Goudy Old Style ATT" w:hAnsi="Goudy Old Style ATT"/>
          <w:vertAlign w:val="superscript"/>
        </w:rPr>
        <w:t>2</w:t>
      </w:r>
      <w:r>
        <w:rPr>
          <w:rFonts w:ascii="Goudy Old Style ATT" w:hAnsi="Goudy Old Style ATT"/>
        </w:rPr>
        <w:t xml:space="preserve"> nejvíce však do 1000 m</w:t>
      </w:r>
      <w:r>
        <w:rPr>
          <w:rFonts w:ascii="Goudy Old Style ATT" w:hAnsi="Goudy Old Style ATT"/>
          <w:vertAlign w:val="superscript"/>
        </w:rPr>
        <w:t>2</w:t>
      </w:r>
      <w:r>
        <w:rPr>
          <w:rFonts w:ascii="Goudy Old Style ATT" w:hAnsi="Goudy Old Style ATT"/>
        </w:rPr>
        <w:t>. V případech, kdy je podána žádost o územní souhlas a následně stavební úřad rozhodne o provedení územního řízení</w:t>
      </w:r>
      <w:r>
        <w:rPr>
          <w:rStyle w:val="Znakapoznpodarou"/>
          <w:rFonts w:ascii="Goudy Old Style ATT" w:hAnsi="Goudy Old Style ATT"/>
          <w:vertAlign w:val="baseline"/>
        </w:rPr>
        <w:t xml:space="preserve"> </w:t>
      </w:r>
      <w:r>
        <w:rPr>
          <w:rStyle w:val="Znakapoznpodarou"/>
          <w:rFonts w:ascii="Goudy Old Style ATT" w:hAnsi="Goudy Old Style ATT"/>
        </w:rPr>
        <w:t>41a</w:t>
      </w:r>
      <w:r>
        <w:rPr>
          <w:rStyle w:val="Znakapoznpodarou"/>
          <w:rFonts w:ascii="Goudy Old Style ATT" w:hAnsi="Goudy Old Style ATT"/>
          <w:vertAlign w:val="baseline"/>
        </w:rPr>
        <w:t>,</w:t>
      </w:r>
      <w:r>
        <w:rPr>
          <w:rStyle w:val="Znakapoznpodarou"/>
          <w:rFonts w:ascii="Goudy Old Style ATT" w:hAnsi="Goudy Old Style ATT"/>
        </w:rPr>
        <w:t xml:space="preserve"> </w:t>
      </w:r>
      <w:r>
        <w:rPr>
          <w:rStyle w:val="Znakapoznpodarou"/>
          <w:rFonts w:ascii="Goudy Old Style ATT" w:hAnsi="Goudy Old Style ATT"/>
          <w:vertAlign w:val="baseline"/>
        </w:rPr>
        <w:t>rozhodují o vydání územního rozhodnutí.</w:t>
      </w:r>
      <w:r>
        <w:rPr>
          <w:rFonts w:ascii="Goudy Old Style ATT" w:hAnsi="Goudy Old Style ATT"/>
        </w:rPr>
        <w:t xml:space="preserve"> </w:t>
      </w:r>
    </w:p>
    <w:p w:rsidR="00EC7D8F" w:rsidRDefault="00852783">
      <w:pPr>
        <w:spacing w:after="120"/>
        <w:ind w:firstLine="709"/>
        <w:jc w:val="both"/>
      </w:pPr>
      <w:r>
        <w:rPr>
          <w:rFonts w:ascii="Goudy Old Style ATT" w:hAnsi="Goudy Old Style ATT"/>
        </w:rPr>
        <w:t xml:space="preserve">(4) Vydávají rozhodnutí v rámci společného územního a stavebního řízení. </w:t>
      </w:r>
    </w:p>
    <w:p w:rsidR="00EC7D8F" w:rsidRDefault="00852783">
      <w:pPr>
        <w:spacing w:after="120"/>
        <w:ind w:firstLine="709"/>
        <w:jc w:val="both"/>
      </w:pPr>
      <w:r>
        <w:rPr>
          <w:rFonts w:ascii="Goudy Old Style ATT" w:hAnsi="Goudy Old Style ATT"/>
        </w:rPr>
        <w:t>(5) U staveb studní zřizovaných pro potřeby jednotlivých fyzických osob a domácností vydávají povolení k nakládání s podzemními vodami a plní úkoly speciálního stavebního úřadu.</w:t>
      </w:r>
    </w:p>
    <w:p w:rsidR="00EC7D8F" w:rsidRDefault="00852783">
      <w:pPr>
        <w:spacing w:after="120"/>
        <w:ind w:firstLine="709"/>
        <w:jc w:val="both"/>
      </w:pPr>
      <w:r>
        <w:rPr>
          <w:rFonts w:ascii="Goudy Old Style ATT" w:hAnsi="Goudy Old Style ATT"/>
        </w:rPr>
        <w:t xml:space="preserve">(6) Plní úkoly speciálního stavebního úřadu u staveb pozemních komunikací pro stavby místních komunikací IV. třídy a účelové komunikace. </w:t>
      </w:r>
    </w:p>
    <w:p w:rsidR="00EC7D8F" w:rsidRDefault="00852783">
      <w:pPr>
        <w:ind w:firstLine="708"/>
        <w:jc w:val="both"/>
      </w:pPr>
      <w:r>
        <w:rPr>
          <w:rFonts w:ascii="Goudy Old Style ATT" w:hAnsi="Goudy Old Style ATT"/>
        </w:rPr>
        <w:t xml:space="preserve">(7) Vykonávají soustavný dozor nad zajišťováním ochrany veřejných zájmů, ochrany práv a oprávněných zájmů právnických a fyzických osob a nad plněním jejich povinností vyplývajících ze stavebního zákona a právních předpisů vydaných k jeho provedení, a to i pro stavby povolené celoměstskými orgány.  </w:t>
      </w:r>
    </w:p>
    <w:p w:rsidR="00EC7D8F" w:rsidRDefault="00852783">
      <w:pPr>
        <w:ind w:firstLine="708"/>
        <w:jc w:val="both"/>
      </w:pPr>
      <w:r>
        <w:rPr>
          <w:rFonts w:ascii="Goudy Old Style ATT" w:hAnsi="Goudy Old Style ATT"/>
        </w:rPr>
        <w:t>(8) Rozhodují o povolení výjimek pro správní akty vydávané orgány městského obvodu.</w:t>
      </w:r>
    </w:p>
    <w:p w:rsidR="00EC7D8F" w:rsidRDefault="00852783">
      <w:pPr>
        <w:ind w:firstLine="708"/>
        <w:jc w:val="both"/>
      </w:pPr>
      <w:r>
        <w:rPr>
          <w:rFonts w:ascii="Goudy Old Style ATT" w:hAnsi="Goudy Old Style ATT"/>
        </w:rPr>
        <w:t>(9) Uzavírají veřejnoprávní smlouvy nahrazující stavební povolení.</w:t>
      </w:r>
    </w:p>
    <w:p w:rsidR="00EC7D8F" w:rsidRDefault="00852783">
      <w:pPr>
        <w:jc w:val="both"/>
      </w:pPr>
      <w:r>
        <w:rPr>
          <w:rFonts w:ascii="Goudy Old Style ATT" w:hAnsi="Goudy Old Style ATT"/>
        </w:rPr>
        <w:t> </w:t>
      </w:r>
    </w:p>
    <w:p w:rsidR="00EC7D8F" w:rsidRDefault="00852783">
      <w:pPr>
        <w:spacing w:after="120"/>
        <w:jc w:val="both"/>
      </w:pPr>
      <w:proofErr w:type="gramStart"/>
      <w:r>
        <w:rPr>
          <w:rFonts w:ascii="Goudy Old Style ATT" w:hAnsi="Goudy Old Style ATT"/>
        </w:rPr>
        <w:t>41a</w:t>
      </w:r>
      <w:proofErr w:type="gramEnd"/>
      <w:r>
        <w:rPr>
          <w:rFonts w:ascii="Goudy Old Style ATT" w:hAnsi="Goudy Old Style ATT"/>
        </w:rPr>
        <w:t xml:space="preserve">) </w:t>
      </w:r>
      <w:r>
        <w:t>§ 96 odst. 5 stavebního zákona č. 183/2006 Sb.“.</w:t>
      </w:r>
    </w:p>
    <w:p w:rsidR="00EC7D8F" w:rsidRDefault="00852783">
      <w:pPr>
        <w:spacing w:after="120"/>
        <w:ind w:left="426"/>
        <w:jc w:val="both"/>
      </w:pPr>
      <w:r>
        <w:rPr>
          <w:rFonts w:ascii="Goudy Old Style ATT" w:hAnsi="Goudy Old Style ATT"/>
          <w:color w:val="000000"/>
        </w:rPr>
        <w:t> </w:t>
      </w:r>
    </w:p>
    <w:p w:rsidR="00EC7D8F" w:rsidRDefault="00852783">
      <w:pPr>
        <w:pStyle w:val="Zkladntext2"/>
        <w:keepNext/>
      </w:pPr>
      <w:r>
        <w:rPr>
          <w:rFonts w:ascii="Goudy Old Style ATT" w:hAnsi="Goudy Old Style ATT"/>
          <w:b/>
          <w:bCs/>
        </w:rPr>
        <w:lastRenderedPageBreak/>
        <w:t> </w:t>
      </w:r>
    </w:p>
    <w:p w:rsidR="00EC7D8F" w:rsidRDefault="00852783">
      <w:pPr>
        <w:pStyle w:val="Zkladntext2"/>
        <w:keepNext/>
        <w:jc w:val="center"/>
      </w:pPr>
      <w:r>
        <w:rPr>
          <w:rFonts w:ascii="Goudy Old Style ATT" w:hAnsi="Goudy Old Style ATT"/>
          <w:b/>
          <w:bCs/>
        </w:rPr>
        <w:t>Článek 2</w:t>
      </w:r>
    </w:p>
    <w:p w:rsidR="00EC7D8F" w:rsidRDefault="00852783">
      <w:pPr>
        <w:pStyle w:val="Zkladntext2"/>
        <w:keepNext/>
        <w:spacing w:after="120"/>
        <w:jc w:val="center"/>
      </w:pPr>
      <w:r>
        <w:rPr>
          <w:rFonts w:ascii="Goudy Old Style ATT" w:hAnsi="Goudy Old Style ATT"/>
          <w:b/>
          <w:bCs/>
        </w:rPr>
        <w:t>Přechodná a závěrečná ustanovení</w:t>
      </w:r>
    </w:p>
    <w:p w:rsidR="00EC7D8F" w:rsidRDefault="00852783">
      <w:pPr>
        <w:pStyle w:val="Zkladntext2"/>
        <w:spacing w:after="120"/>
      </w:pPr>
      <w:r>
        <w:rPr>
          <w:rFonts w:ascii="Goudy Old Style ATT" w:hAnsi="Goudy Old Style ATT"/>
        </w:rPr>
        <w:t>            (1) Řízení a jiné rozhodovací procesy v samostatné působnosti statutárního města Plzně, zahájené a neukončené před účinností této obecně závazné vyhlášky, se ukončí podle Statutu města ve znění této vyhlášky. Orgány řízení dosud provádějící předají všechny neuzavřené věci orgánům nově příslušným do 30 dnů po účinnosti této vyhlášky a ve stejné lhůtě budou o tomto postoupení písemně informovat všechny osoby, v jejichž záležitosti se příslušné řízení vede.</w:t>
      </w:r>
    </w:p>
    <w:p w:rsidR="00EC7D8F" w:rsidRDefault="00852783">
      <w:pPr>
        <w:pStyle w:val="Zkladntext2"/>
        <w:spacing w:after="120"/>
      </w:pPr>
      <w:r>
        <w:rPr>
          <w:rFonts w:ascii="Goudy Old Style ATT" w:hAnsi="Goudy Old Style ATT"/>
        </w:rPr>
        <w:t>            (2) Správní, daňová a jiná řízení v přenesené působnosti orgánů města, zahájená před účinností této obecně závazné vyhlášky, se dokončí podle dosavadních předpisů, nestanoví-li zvláštní zákon jinak.</w:t>
      </w:r>
    </w:p>
    <w:p w:rsidR="00EC7D8F" w:rsidRDefault="00852783">
      <w:pPr>
        <w:pStyle w:val="Zkladntext2"/>
        <w:spacing w:after="120"/>
      </w:pPr>
      <w:r>
        <w:rPr>
          <w:rFonts w:ascii="Goudy Old Style ATT" w:hAnsi="Goudy Old Style ATT"/>
        </w:rPr>
        <w:t>            (3) Tato vyhláška nabývá účinnosti dne 15. července 2013.</w:t>
      </w:r>
    </w:p>
    <w:p w:rsidR="00EC7D8F" w:rsidRDefault="00852783">
      <w:pPr>
        <w:pStyle w:val="Zkladntext2"/>
        <w:spacing w:after="120"/>
      </w:pPr>
      <w:r>
        <w:rPr>
          <w:rFonts w:ascii="Goudy Old Style ATT" w:hAnsi="Goudy Old Style ATT"/>
        </w:rPr>
        <w:t> </w:t>
      </w:r>
    </w:p>
    <w:p w:rsidR="00EC7D8F" w:rsidRDefault="00852783">
      <w:pPr>
        <w:pStyle w:val="Zkladntext2"/>
        <w:spacing w:after="120"/>
      </w:pPr>
      <w:r>
        <w:rPr>
          <w:rFonts w:ascii="Goudy Old Style ATT" w:hAnsi="Goudy Old Style ATT"/>
        </w:rPr>
        <w:t> </w:t>
      </w:r>
    </w:p>
    <w:p w:rsidR="00EC7D8F" w:rsidRDefault="00852783">
      <w:pPr>
        <w:pStyle w:val="Zkladntext2"/>
      </w:pPr>
      <w:r>
        <w:rPr>
          <w:rFonts w:ascii="Goudy Old Style ATT" w:hAnsi="Goudy Old Style ATT"/>
          <w:b/>
          <w:bCs/>
        </w:rPr>
        <w:t> </w:t>
      </w:r>
    </w:p>
    <w:p w:rsidR="00EC7D8F" w:rsidRDefault="00852783">
      <w:pPr>
        <w:pStyle w:val="Zkladntext2"/>
      </w:pPr>
      <w:r>
        <w:rPr>
          <w:rFonts w:ascii="Goudy Old Style ATT" w:hAnsi="Goudy Old Style ATT"/>
          <w:b/>
          <w:bCs/>
        </w:rPr>
        <w:t xml:space="preserve">                      Mgr. Martin Baxa                                             Martin </w:t>
      </w:r>
      <w:proofErr w:type="spellStart"/>
      <w:r>
        <w:rPr>
          <w:rFonts w:ascii="Goudy Old Style ATT" w:hAnsi="Goudy Old Style ATT"/>
          <w:b/>
          <w:bCs/>
        </w:rPr>
        <w:t>Zrzavecký</w:t>
      </w:r>
      <w:proofErr w:type="spellEnd"/>
    </w:p>
    <w:p w:rsidR="00EC7D8F" w:rsidRDefault="00852783">
      <w:pPr>
        <w:pStyle w:val="Zkladntext2"/>
        <w:spacing w:after="120"/>
      </w:pPr>
      <w:r>
        <w:rPr>
          <w:rFonts w:ascii="Goudy Old Style ATT" w:hAnsi="Goudy Old Style ATT"/>
          <w:i/>
          <w:iCs/>
        </w:rPr>
        <w:t>                          primátor města                                                náměstek primátora</w:t>
      </w:r>
    </w:p>
    <w:p w:rsidR="00EC7D8F" w:rsidRDefault="00EC7D8F">
      <w:pPr>
        <w:pStyle w:val="Zkladntext2"/>
        <w:spacing w:after="120"/>
        <w:rPr>
          <w:rFonts w:ascii="Goudy Old Style ATT" w:eastAsia="Times New Roman" w:hAnsi="Goudy Old Style ATT"/>
        </w:rPr>
      </w:pPr>
    </w:p>
    <w:p w:rsidR="0069151C" w:rsidRDefault="0069151C">
      <w:pPr>
        <w:pStyle w:val="Zkladntext2"/>
        <w:spacing w:after="120"/>
      </w:pPr>
    </w:p>
    <w:p w:rsidR="0069151C" w:rsidRDefault="0069151C">
      <w:pPr>
        <w:pStyle w:val="Zkladntext2"/>
        <w:spacing w:after="120"/>
      </w:pPr>
    </w:p>
    <w:p w:rsidR="0069151C" w:rsidRDefault="0069151C">
      <w:pPr>
        <w:pStyle w:val="Zkladntext2"/>
        <w:spacing w:after="120"/>
      </w:pPr>
    </w:p>
    <w:p w:rsidR="0069151C" w:rsidRDefault="0069151C">
      <w:pPr>
        <w:pStyle w:val="Zkladntext2"/>
        <w:spacing w:after="120"/>
      </w:pPr>
    </w:p>
    <w:p w:rsidR="0069151C" w:rsidRDefault="0069151C">
      <w:pPr>
        <w:pStyle w:val="Zkladntext2"/>
        <w:spacing w:after="120"/>
      </w:pPr>
    </w:p>
    <w:p w:rsidR="0069151C" w:rsidRDefault="0069151C">
      <w:pPr>
        <w:pStyle w:val="Zkladntext2"/>
        <w:spacing w:after="120"/>
      </w:pPr>
    </w:p>
    <w:p w:rsidR="0069151C" w:rsidRDefault="0069151C">
      <w:pPr>
        <w:pStyle w:val="Zkladntext2"/>
        <w:spacing w:after="120"/>
      </w:pPr>
    </w:p>
    <w:p w:rsidR="0069151C" w:rsidRDefault="0069151C">
      <w:pPr>
        <w:pStyle w:val="Zkladntext2"/>
        <w:spacing w:after="120"/>
      </w:pPr>
    </w:p>
    <w:p w:rsidR="0069151C" w:rsidRDefault="0069151C">
      <w:pPr>
        <w:pStyle w:val="Zkladntext2"/>
        <w:spacing w:after="120"/>
      </w:pPr>
    </w:p>
    <w:p w:rsidR="0069151C" w:rsidRDefault="0069151C">
      <w:pPr>
        <w:pStyle w:val="Zkladntext2"/>
        <w:spacing w:after="120"/>
      </w:pPr>
    </w:p>
    <w:p w:rsidR="0069151C" w:rsidRDefault="0069151C">
      <w:pPr>
        <w:pStyle w:val="Zkladntext2"/>
        <w:spacing w:after="120"/>
      </w:pPr>
    </w:p>
    <w:p w:rsidR="0069151C" w:rsidRDefault="0069151C">
      <w:pPr>
        <w:pStyle w:val="Zkladntext2"/>
        <w:spacing w:after="120"/>
      </w:pPr>
    </w:p>
    <w:p w:rsidR="0069151C" w:rsidRDefault="0069151C">
      <w:pPr>
        <w:pStyle w:val="Zkladntext2"/>
        <w:spacing w:after="120"/>
      </w:pPr>
    </w:p>
    <w:p w:rsidR="0069151C" w:rsidRDefault="0069151C">
      <w:pPr>
        <w:pStyle w:val="Zkladntext2"/>
        <w:spacing w:after="120"/>
      </w:pPr>
    </w:p>
    <w:p w:rsidR="0069151C" w:rsidRDefault="0069151C">
      <w:pPr>
        <w:pStyle w:val="Zkladntext2"/>
        <w:spacing w:after="120"/>
      </w:pPr>
    </w:p>
    <w:p w:rsidR="0069151C" w:rsidRDefault="0069151C">
      <w:pPr>
        <w:pStyle w:val="Zkladntext2"/>
        <w:spacing w:after="120"/>
      </w:pPr>
    </w:p>
    <w:p w:rsidR="0069151C" w:rsidRDefault="0069151C">
      <w:pPr>
        <w:pStyle w:val="Zkladntext2"/>
        <w:spacing w:after="120"/>
      </w:pPr>
      <w:r>
        <w:t>Na úřední desce vyvěšeno dne 27. 6. 2013.</w:t>
      </w:r>
      <w:bookmarkStart w:id="2" w:name="_GoBack"/>
      <w:bookmarkEnd w:id="2"/>
    </w:p>
    <w:sectPr w:rsidR="0069151C">
      <w:pgSz w:w="11907" w:h="16840"/>
      <w:pgMar w:top="1304" w:right="1134" w:bottom="130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Goudy Old Style ATT">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entury Schoolbook">
    <w:panose1 w:val="02040604050505020304"/>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783"/>
    <w:rsid w:val="0069151C"/>
    <w:rsid w:val="00845583"/>
    <w:rsid w:val="00852783"/>
    <w:rsid w:val="00EC7D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36FF29"/>
  <w15:docId w15:val="{74279A96-2D12-406C-B1FA-063FA6984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rFonts w:eastAsiaTheme="minorEastAsia"/>
      <w:sz w:val="24"/>
      <w:szCs w:val="24"/>
    </w:rPr>
  </w:style>
  <w:style w:type="paragraph" w:styleId="Nadpis3">
    <w:name w:val="heading 3"/>
    <w:basedOn w:val="Normln"/>
    <w:link w:val="Nadpis3Char"/>
    <w:uiPriority w:val="9"/>
    <w:qFormat/>
    <w:pPr>
      <w:keepNext/>
      <w:spacing w:before="120" w:after="120"/>
      <w:jc w:val="center"/>
      <w:outlineLvl w:val="2"/>
    </w:pPr>
    <w:rPr>
      <w:b/>
      <w:bCs/>
      <w:spacing w:val="12"/>
    </w:rPr>
  </w:style>
  <w:style w:type="paragraph" w:styleId="Nadpis4">
    <w:name w:val="heading 4"/>
    <w:basedOn w:val="Normln"/>
    <w:link w:val="Nadpis4Char"/>
    <w:uiPriority w:val="9"/>
    <w:qFormat/>
    <w:pPr>
      <w:keepNext/>
      <w:jc w:val="center"/>
      <w:outlineLvl w:val="3"/>
    </w:pPr>
    <w:rPr>
      <w:b/>
      <w:bCs/>
    </w:rPr>
  </w:style>
  <w:style w:type="paragraph" w:styleId="Nadpis8">
    <w:name w:val="heading 8"/>
    <w:basedOn w:val="Normln"/>
    <w:link w:val="Nadpis8Char"/>
    <w:uiPriority w:val="9"/>
    <w:qFormat/>
    <w:pPr>
      <w:keepNext/>
      <w:jc w:val="center"/>
      <w:outlineLvl w:val="7"/>
    </w:pPr>
    <w:rPr>
      <w:rFonts w:ascii="Goudy Old Style ATT" w:hAnsi="Goudy Old Style ATT"/>
      <w:b/>
      <w:bCs/>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semiHidden/>
    <w:rPr>
      <w:rFonts w:asciiTheme="majorHAnsi" w:eastAsiaTheme="majorEastAsia" w:hAnsiTheme="majorHAnsi" w:cstheme="majorBidi"/>
      <w:b/>
      <w:bCs/>
      <w:color w:val="4F81BD" w:themeColor="accent1"/>
      <w:sz w:val="24"/>
      <w:szCs w:val="24"/>
    </w:rPr>
  </w:style>
  <w:style w:type="character" w:customStyle="1" w:styleId="Nadpis4Char">
    <w:name w:val="Nadpis 4 Char"/>
    <w:basedOn w:val="Standardnpsmoodstavce"/>
    <w:link w:val="Nadpis4"/>
    <w:uiPriority w:val="9"/>
    <w:semiHidden/>
    <w:rPr>
      <w:rFonts w:asciiTheme="majorHAnsi" w:eastAsiaTheme="majorEastAsia" w:hAnsiTheme="majorHAnsi" w:cstheme="majorBidi"/>
      <w:b/>
      <w:bCs/>
      <w:i/>
      <w:iCs/>
      <w:color w:val="4F81BD" w:themeColor="accent1"/>
      <w:sz w:val="24"/>
      <w:szCs w:val="24"/>
    </w:rPr>
  </w:style>
  <w:style w:type="character" w:customStyle="1" w:styleId="Nadpis8Char">
    <w:name w:val="Nadpis 8 Char"/>
    <w:basedOn w:val="Standardnpsmoodstavce"/>
    <w:link w:val="Nadpis8"/>
    <w:uiPriority w:val="9"/>
    <w:semiHidden/>
    <w:rPr>
      <w:rFonts w:asciiTheme="majorHAnsi" w:eastAsiaTheme="majorEastAsia" w:hAnsiTheme="majorHAnsi" w:cstheme="majorBidi"/>
      <w:color w:val="404040" w:themeColor="text1" w:themeTint="BF"/>
    </w:rPr>
  </w:style>
  <w:style w:type="paragraph" w:styleId="Textpoznpodarou">
    <w:name w:val="footnote text"/>
    <w:basedOn w:val="Normln"/>
    <w:link w:val="TextpoznpodarouChar"/>
    <w:uiPriority w:val="99"/>
    <w:semiHidden/>
    <w:unhideWhenUsed/>
    <w:rPr>
      <w:sz w:val="20"/>
      <w:szCs w:val="20"/>
    </w:rPr>
  </w:style>
  <w:style w:type="character" w:customStyle="1" w:styleId="TextpoznpodarouChar">
    <w:name w:val="Text pozn. pod čarou Char"/>
    <w:basedOn w:val="Standardnpsmoodstavce"/>
    <w:link w:val="Textpoznpodarou"/>
    <w:uiPriority w:val="99"/>
    <w:semiHidden/>
  </w:style>
  <w:style w:type="paragraph" w:styleId="Textkomente">
    <w:name w:val="annotation text"/>
    <w:basedOn w:val="Normln"/>
    <w:link w:val="TextkomenteChar"/>
    <w:uiPriority w:val="99"/>
    <w:semiHidden/>
    <w:unhideWhenUsed/>
    <w:rPr>
      <w:sz w:val="20"/>
      <w:szCs w:val="20"/>
    </w:rPr>
  </w:style>
  <w:style w:type="character" w:customStyle="1" w:styleId="TextkomenteChar">
    <w:name w:val="Text komentáře Char"/>
    <w:basedOn w:val="Standardnpsmoodstavce"/>
    <w:link w:val="Textkomente"/>
    <w:uiPriority w:val="99"/>
    <w:semiHidden/>
  </w:style>
  <w:style w:type="paragraph" w:styleId="Zhlav">
    <w:name w:val="header"/>
    <w:basedOn w:val="Normln"/>
    <w:link w:val="ZhlavChar"/>
    <w:uiPriority w:val="99"/>
    <w:semiHidden/>
    <w:unhideWhenUsed/>
  </w:style>
  <w:style w:type="character" w:customStyle="1" w:styleId="ZhlavChar">
    <w:name w:val="Záhlaví Char"/>
    <w:basedOn w:val="Standardnpsmoodstavce"/>
    <w:link w:val="Zhlav"/>
    <w:uiPriority w:val="99"/>
    <w:semiHidden/>
    <w:rPr>
      <w:rFonts w:eastAsiaTheme="minorEastAsia"/>
      <w:sz w:val="24"/>
      <w:szCs w:val="24"/>
    </w:rPr>
  </w:style>
  <w:style w:type="paragraph" w:styleId="Zpat">
    <w:name w:val="footer"/>
    <w:basedOn w:val="Normln"/>
    <w:link w:val="ZpatChar"/>
    <w:uiPriority w:val="99"/>
    <w:semiHidden/>
    <w:unhideWhenUsed/>
  </w:style>
  <w:style w:type="character" w:customStyle="1" w:styleId="ZpatChar">
    <w:name w:val="Zápatí Char"/>
    <w:basedOn w:val="Standardnpsmoodstavce"/>
    <w:link w:val="Zpat"/>
    <w:uiPriority w:val="99"/>
    <w:semiHidden/>
    <w:rPr>
      <w:rFonts w:eastAsiaTheme="minorEastAsia"/>
      <w:sz w:val="24"/>
      <w:szCs w:val="24"/>
    </w:rPr>
  </w:style>
  <w:style w:type="paragraph" w:styleId="Nzev">
    <w:name w:val="Title"/>
    <w:basedOn w:val="Normln"/>
    <w:link w:val="NzevChar"/>
    <w:uiPriority w:val="10"/>
    <w:qFormat/>
    <w:pPr>
      <w:spacing w:after="120"/>
      <w:jc w:val="center"/>
    </w:pPr>
    <w:rPr>
      <w:rFonts w:ascii="Goudy Old Style ATT" w:hAnsi="Goudy Old Style ATT"/>
      <w:b/>
      <w:bCs/>
      <w:smallCaps/>
      <w:color w:val="000000"/>
      <w:spacing w:val="20"/>
      <w:sz w:val="30"/>
      <w:szCs w:val="30"/>
    </w:rPr>
  </w:style>
  <w:style w:type="character" w:customStyle="1" w:styleId="NzevChar">
    <w:name w:val="Název Char"/>
    <w:basedOn w:val="Standardnpsmoodstavce"/>
    <w:link w:val="Nzev"/>
    <w:uiPriority w:val="10"/>
    <w:rPr>
      <w:rFonts w:asciiTheme="majorHAnsi" w:eastAsiaTheme="majorEastAsia" w:hAnsiTheme="majorHAnsi" w:cstheme="majorBidi"/>
      <w:color w:val="17365D" w:themeColor="text2" w:themeShade="BF"/>
      <w:spacing w:val="5"/>
      <w:kern w:val="28"/>
      <w:sz w:val="52"/>
      <w:szCs w:val="52"/>
    </w:rPr>
  </w:style>
  <w:style w:type="paragraph" w:styleId="Zkladntext">
    <w:name w:val="Body Text"/>
    <w:basedOn w:val="Normln"/>
    <w:link w:val="ZkladntextChar"/>
    <w:uiPriority w:val="99"/>
    <w:semiHidden/>
    <w:unhideWhenUsed/>
    <w:pPr>
      <w:autoSpaceDE w:val="0"/>
      <w:autoSpaceDN w:val="0"/>
      <w:jc w:val="both"/>
    </w:pPr>
  </w:style>
  <w:style w:type="character" w:customStyle="1" w:styleId="ZkladntextChar">
    <w:name w:val="Základní text Char"/>
    <w:basedOn w:val="Standardnpsmoodstavce"/>
    <w:link w:val="Zkladntext"/>
    <w:uiPriority w:val="99"/>
    <w:semiHidden/>
    <w:rPr>
      <w:rFonts w:eastAsiaTheme="minorEastAsia"/>
      <w:sz w:val="24"/>
      <w:szCs w:val="24"/>
    </w:rPr>
  </w:style>
  <w:style w:type="paragraph" w:styleId="Zkladntextodsazen">
    <w:name w:val="Body Text Indent"/>
    <w:basedOn w:val="Normln"/>
    <w:link w:val="ZkladntextodsazenChar"/>
    <w:uiPriority w:val="99"/>
    <w:semiHidden/>
    <w:unhideWhenUsed/>
    <w:pPr>
      <w:spacing w:after="80"/>
      <w:ind w:left="709" w:hanging="425"/>
      <w:jc w:val="both"/>
    </w:pPr>
    <w:rPr>
      <w:rFonts w:ascii="Goudy Old Style ATT" w:hAnsi="Goudy Old Style ATT"/>
      <w:color w:val="000000"/>
    </w:rPr>
  </w:style>
  <w:style w:type="character" w:customStyle="1" w:styleId="ZkladntextodsazenChar">
    <w:name w:val="Základní text odsazený Char"/>
    <w:basedOn w:val="Standardnpsmoodstavce"/>
    <w:link w:val="Zkladntextodsazen"/>
    <w:uiPriority w:val="99"/>
    <w:semiHidden/>
    <w:rPr>
      <w:rFonts w:eastAsiaTheme="minorEastAsia"/>
      <w:sz w:val="24"/>
      <w:szCs w:val="24"/>
    </w:rPr>
  </w:style>
  <w:style w:type="paragraph" w:styleId="Zkladntext2">
    <w:name w:val="Body Text 2"/>
    <w:basedOn w:val="Normln"/>
    <w:link w:val="Zkladntext2Char"/>
    <w:uiPriority w:val="99"/>
    <w:semiHidden/>
    <w:unhideWhenUsed/>
    <w:pPr>
      <w:jc w:val="both"/>
    </w:pPr>
    <w:rPr>
      <w:color w:val="000000"/>
    </w:rPr>
  </w:style>
  <w:style w:type="character" w:customStyle="1" w:styleId="Zkladntext2Char">
    <w:name w:val="Základní text 2 Char"/>
    <w:basedOn w:val="Standardnpsmoodstavce"/>
    <w:link w:val="Zkladntext2"/>
    <w:uiPriority w:val="99"/>
    <w:semiHidden/>
    <w:rPr>
      <w:rFonts w:eastAsiaTheme="minorEastAsia"/>
      <w:sz w:val="24"/>
      <w:szCs w:val="24"/>
    </w:rPr>
  </w:style>
  <w:style w:type="paragraph" w:styleId="Pedmtkomente">
    <w:name w:val="annotation subject"/>
    <w:basedOn w:val="Normln"/>
    <w:link w:val="PedmtkomenteChar"/>
    <w:uiPriority w:val="99"/>
    <w:semiHidden/>
    <w:unhideWhenUsed/>
    <w:rPr>
      <w:b/>
      <w:bCs/>
      <w:sz w:val="20"/>
      <w:szCs w:val="20"/>
    </w:rPr>
  </w:style>
  <w:style w:type="character" w:customStyle="1" w:styleId="PedmtkomenteChar">
    <w:name w:val="Předmět komentáře Char"/>
    <w:basedOn w:val="TextkomenteChar"/>
    <w:link w:val="Pedmtkomente"/>
    <w:uiPriority w:val="99"/>
    <w:semiHidden/>
    <w:rPr>
      <w:b/>
      <w:bCs/>
    </w:rPr>
  </w:style>
  <w:style w:type="paragraph" w:styleId="Textbubliny">
    <w:name w:val="Balloon Text"/>
    <w:basedOn w:val="Normln"/>
    <w:link w:val="TextbublinyChar"/>
    <w:uiPriority w:val="99"/>
    <w:semiHidden/>
    <w:unhideWhenUsed/>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eastAsiaTheme="minorEastAsia" w:hAnsi="Tahoma" w:cs="Tahoma"/>
      <w:sz w:val="16"/>
      <w:szCs w:val="16"/>
    </w:rPr>
  </w:style>
  <w:style w:type="paragraph" w:styleId="Odstavecseseznamem">
    <w:name w:val="List Paragraph"/>
    <w:basedOn w:val="Normln"/>
    <w:uiPriority w:val="34"/>
    <w:qFormat/>
    <w:pPr>
      <w:ind w:left="708"/>
    </w:pPr>
  </w:style>
  <w:style w:type="paragraph" w:customStyle="1" w:styleId="msochpdefault">
    <w:name w:val="msochpdefault"/>
    <w:basedOn w:val="Normln"/>
    <w:pPr>
      <w:spacing w:before="100" w:beforeAutospacing="1" w:after="100" w:afterAutospacing="1"/>
    </w:pPr>
    <w:rPr>
      <w:sz w:val="20"/>
      <w:szCs w:val="20"/>
    </w:rPr>
  </w:style>
  <w:style w:type="character" w:styleId="Znakapoznpodarou">
    <w:name w:val="footnote reference"/>
    <w:basedOn w:val="Standardnpsmoodstavce"/>
    <w:uiPriority w:val="99"/>
    <w:semiHidden/>
    <w:unhideWhenUsed/>
    <w:rPr>
      <w:vertAlign w:val="superscript"/>
    </w:rPr>
  </w:style>
  <w:style w:type="character" w:customStyle="1" w:styleId="pipomnky">
    <w:name w:val="připomínky"/>
    <w:basedOn w:val="Standardnpsmoodstavce"/>
    <w:rPr>
      <w:rFonts w:ascii="Century Schoolbook" w:hAnsi="Century Schoolbook" w:hint="default"/>
      <w:color w:val="FF0000"/>
    </w:rPr>
  </w:style>
  <w:style w:type="character" w:customStyle="1" w:styleId="poznmka">
    <w:name w:val="poznámka"/>
    <w:basedOn w:val="Standardnpsmoodstavce"/>
    <w:rPr>
      <w:rFonts w:ascii="Century Schoolbook" w:hAnsi="Century Schoolbook" w:hint="default"/>
      <w:i/>
      <w:iCs/>
      <w:color w:val="FF0000"/>
    </w:rPr>
  </w:style>
  <w:style w:type="character" w:customStyle="1" w:styleId="pipomnka">
    <w:name w:val="připomínka"/>
    <w:basedOn w:val="Standardnpsmoodstavce"/>
    <w:rPr>
      <w:rFonts w:ascii="Garamond" w:hAnsi="Garamond" w:hint="default"/>
      <w:b/>
      <w:bCs/>
      <w:i/>
      <w:iCs/>
      <w:color w:val="800000"/>
      <w:spacing w:val="2"/>
      <w:bdr w:val="none" w:sz="0" w:space="0" w:color="auto" w:frame="1"/>
      <w:shd w:val="clear" w:color="auto" w:fill="FFFFDD"/>
    </w:rPr>
  </w:style>
  <w:style w:type="character" w:customStyle="1" w:styleId="tomasek">
    <w:name w:val="tomasek"/>
    <w:basedOn w:val="Standardnpsmoodstavce"/>
    <w:rPr>
      <w:rFonts w:ascii="Arial" w:hAnsi="Arial" w:cs="Arial" w:hint="default"/>
      <w:color w:va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nicode"/>
  <w:optimizeForBrowser/>
  <w:allowPNG/>
  <w:doNotRelyOnCS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784</Words>
  <Characters>4647</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Homola Dušan</dc:creator>
  <cp:keywords/>
  <dc:description/>
  <cp:lastModifiedBy>Jirková Michaela</cp:lastModifiedBy>
  <cp:revision>3</cp:revision>
  <dcterms:created xsi:type="dcterms:W3CDTF">2023-05-15T06:52:00Z</dcterms:created>
  <dcterms:modified xsi:type="dcterms:W3CDTF">2023-05-15T06:54:00Z</dcterms:modified>
</cp:coreProperties>
</file>