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68199DAA" w:rsidR="00394DC7" w:rsidRPr="00962BD2" w:rsidRDefault="0073626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626F">
              <w:rPr>
                <w:rFonts w:ascii="Times New Roman" w:eastAsia="Times New Roman" w:hAnsi="Times New Roman"/>
                <w:lang w:eastAsia="cs-CZ"/>
              </w:rPr>
              <w:t>SZ UKZUZ 210723/2022/73800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FC391A4" w:rsidR="00394DC7" w:rsidRPr="00962BD2" w:rsidRDefault="002D3B6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D3B6A">
              <w:rPr>
                <w:rFonts w:ascii="Times New Roman" w:hAnsi="Times New Roman"/>
              </w:rPr>
              <w:t>UKZUZ 168922/2025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658050AA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73626F">
              <w:rPr>
                <w:rFonts w:ascii="Times New Roman" w:hAnsi="Times New Roman"/>
              </w:rPr>
              <w:t>lontrel</w:t>
            </w:r>
            <w:proofErr w:type="spellEnd"/>
            <w:r w:rsidR="0073626F">
              <w:rPr>
                <w:rFonts w:ascii="Times New Roman" w:hAnsi="Times New Roman"/>
              </w:rPr>
              <w:t xml:space="preserve"> 300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2691972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D3B6A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113988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398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4BDBCC2C" w:rsidR="00394DC7" w:rsidRPr="0073626F" w:rsidRDefault="0020569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20569E">
              <w:rPr>
                <w:rFonts w:ascii="Times New Roman" w:hAnsi="Times New Roman"/>
              </w:rPr>
              <w:t>14</w:t>
            </w:r>
            <w:r w:rsidR="004C7A67" w:rsidRPr="0020569E">
              <w:rPr>
                <w:rFonts w:ascii="Times New Roman" w:hAnsi="Times New Roman"/>
              </w:rPr>
              <w:t xml:space="preserve">. </w:t>
            </w:r>
            <w:r w:rsidR="00E84125" w:rsidRPr="0020569E">
              <w:rPr>
                <w:rFonts w:ascii="Times New Roman" w:hAnsi="Times New Roman"/>
              </w:rPr>
              <w:t>ří</w:t>
            </w:r>
            <w:r w:rsidR="0073626F" w:rsidRPr="0020569E">
              <w:rPr>
                <w:rFonts w:ascii="Times New Roman" w:hAnsi="Times New Roman"/>
              </w:rPr>
              <w:t>jna</w:t>
            </w:r>
            <w:r w:rsidR="004C7A67" w:rsidRPr="0020569E">
              <w:rPr>
                <w:rFonts w:ascii="Times New Roman" w:hAnsi="Times New Roman"/>
              </w:rPr>
              <w:t xml:space="preserve"> 202</w:t>
            </w:r>
            <w:r w:rsidR="00EF2210" w:rsidRPr="0020569E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20F233E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73626F">
        <w:rPr>
          <w:rFonts w:ascii="Times New Roman" w:hAnsi="Times New Roman"/>
          <w:b/>
          <w:bCs/>
          <w:sz w:val="28"/>
          <w:szCs w:val="28"/>
        </w:rPr>
        <w:t>Lontrel</w:t>
      </w:r>
      <w:proofErr w:type="spellEnd"/>
      <w:r w:rsidR="0073626F">
        <w:rPr>
          <w:rFonts w:ascii="Times New Roman" w:hAnsi="Times New Roman"/>
          <w:b/>
          <w:bCs/>
          <w:sz w:val="28"/>
          <w:szCs w:val="28"/>
        </w:rPr>
        <w:t xml:space="preserve"> 300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73626F">
        <w:rPr>
          <w:rFonts w:ascii="Times New Roman" w:hAnsi="Times New Roman"/>
          <w:b/>
          <w:sz w:val="28"/>
          <w:szCs w:val="28"/>
        </w:rPr>
        <w:t>3429</w:t>
      </w:r>
      <w:r w:rsidR="00FF2A37">
        <w:rPr>
          <w:rFonts w:ascii="Times New Roman" w:hAnsi="Times New Roman"/>
          <w:b/>
          <w:iCs/>
          <w:sz w:val="28"/>
          <w:szCs w:val="28"/>
        </w:rPr>
        <w:t>-</w:t>
      </w:r>
      <w:r w:rsidR="0073626F">
        <w:rPr>
          <w:rFonts w:ascii="Times New Roman" w:hAnsi="Times New Roman"/>
          <w:b/>
          <w:iCs/>
          <w:sz w:val="28"/>
          <w:szCs w:val="28"/>
        </w:rPr>
        <w:t>3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16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985"/>
        <w:gridCol w:w="1308"/>
        <w:gridCol w:w="464"/>
        <w:gridCol w:w="2054"/>
        <w:gridCol w:w="1983"/>
      </w:tblGrid>
      <w:tr w:rsidR="007D4054" w:rsidRPr="004B2D54" w14:paraId="1298592D" w14:textId="77777777" w:rsidTr="007D4054">
        <w:tc>
          <w:tcPr>
            <w:tcW w:w="830" w:type="pct"/>
          </w:tcPr>
          <w:p w14:paraId="5E1A5319" w14:textId="77777777" w:rsidR="00501749" w:rsidRPr="002C0D21" w:rsidRDefault="00501749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62" w:type="pct"/>
          </w:tcPr>
          <w:p w14:paraId="32F2D833" w14:textId="77777777" w:rsidR="00501749" w:rsidRPr="002C0D21" w:rsidRDefault="00501749" w:rsidP="007D4054">
            <w:pPr>
              <w:spacing w:after="0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0" w:type="pct"/>
          </w:tcPr>
          <w:p w14:paraId="295CE882" w14:textId="77777777" w:rsidR="00501749" w:rsidRPr="002C0D21" w:rsidRDefault="00501749" w:rsidP="007D4054">
            <w:pPr>
              <w:spacing w:after="0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</w:tcPr>
          <w:p w14:paraId="6C507DBE" w14:textId="77777777" w:rsidR="00501749" w:rsidRPr="002C0D21" w:rsidRDefault="00501749" w:rsidP="007D405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99" w:type="pct"/>
          </w:tcPr>
          <w:p w14:paraId="5ACB85EC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1061" w:type="pct"/>
          </w:tcPr>
          <w:p w14:paraId="6D436E57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7D405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7D4054" w:rsidRPr="0073626F" w14:paraId="7F68D497" w14:textId="77777777" w:rsidTr="007D4054">
        <w:tc>
          <w:tcPr>
            <w:tcW w:w="830" w:type="pct"/>
          </w:tcPr>
          <w:p w14:paraId="127EF086" w14:textId="691BFD8A" w:rsidR="0073626F" w:rsidRPr="00720DAD" w:rsidRDefault="005C3406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C340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česnek, cibule kuchyňská, cibule šalotka</w:t>
            </w:r>
          </w:p>
        </w:tc>
        <w:tc>
          <w:tcPr>
            <w:tcW w:w="1062" w:type="pct"/>
          </w:tcPr>
          <w:p w14:paraId="2ADE021F" w14:textId="33F60015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dvouděložné jednoleté, plevele dvouděložné vytrvalé</w:t>
            </w:r>
          </w:p>
        </w:tc>
        <w:tc>
          <w:tcPr>
            <w:tcW w:w="700" w:type="pct"/>
          </w:tcPr>
          <w:p w14:paraId="22043701" w14:textId="7F6E06E2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48" w:type="pct"/>
          </w:tcPr>
          <w:p w14:paraId="16BEEFBE" w14:textId="26E87229" w:rsidR="0073626F" w:rsidRDefault="005C3406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99" w:type="pct"/>
          </w:tcPr>
          <w:p w14:paraId="3D32D948" w14:textId="77777777" w:rsidR="007D4054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12 BBCH, </w:t>
            </w:r>
          </w:p>
          <w:p w14:paraId="48443BCA" w14:textId="0D9E7C23" w:rsidR="0073626F" w:rsidRPr="0073626F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</w:t>
            </w:r>
            <w:r w:rsidRPr="006363B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 1</w:t>
            </w:r>
            <w:r w:rsidR="005C3406" w:rsidRPr="006363B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 w:rsidRPr="006363B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</w:t>
            </w: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35FFFF5A" w14:textId="7CB67D6F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po vzejití </w:t>
            </w:r>
          </w:p>
        </w:tc>
        <w:tc>
          <w:tcPr>
            <w:tcW w:w="1061" w:type="pct"/>
          </w:tcPr>
          <w:p w14:paraId="1BD611A4" w14:textId="77777777" w:rsidR="0073626F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  <w:p w14:paraId="38F3E36E" w14:textId="6251625B" w:rsidR="005C3406" w:rsidRPr="00720DAD" w:rsidRDefault="005C3406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cibuli</w:t>
            </w:r>
          </w:p>
        </w:tc>
      </w:tr>
      <w:tr w:rsidR="007D4054" w:rsidRPr="0073626F" w14:paraId="31A7ECD2" w14:textId="77777777" w:rsidTr="007D4054">
        <w:tc>
          <w:tcPr>
            <w:tcW w:w="830" w:type="pct"/>
          </w:tcPr>
          <w:p w14:paraId="0DC2F201" w14:textId="5464DB16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062" w:type="pct"/>
          </w:tcPr>
          <w:p w14:paraId="0ACAC185" w14:textId="3C35C70A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 jednoleté, plevele vytrvalé</w:t>
            </w:r>
          </w:p>
        </w:tc>
        <w:tc>
          <w:tcPr>
            <w:tcW w:w="700" w:type="pct"/>
          </w:tcPr>
          <w:p w14:paraId="1F6EC4CA" w14:textId="7621A19F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48" w:type="pct"/>
          </w:tcPr>
          <w:p w14:paraId="77803912" w14:textId="75DF8EF6" w:rsidR="0073626F" w:rsidRDefault="005C3406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99" w:type="pct"/>
          </w:tcPr>
          <w:p w14:paraId="7CC3C1E4" w14:textId="77777777" w:rsidR="007D4054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10 BBCH, </w:t>
            </w:r>
          </w:p>
          <w:p w14:paraId="5B381827" w14:textId="62E4C0C2" w:rsidR="0073626F" w:rsidRPr="0073626F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39 BBCH </w:t>
            </w:r>
          </w:p>
          <w:p w14:paraId="0D1A5084" w14:textId="12037D7E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po vzejití </w:t>
            </w:r>
          </w:p>
        </w:tc>
        <w:tc>
          <w:tcPr>
            <w:tcW w:w="1061" w:type="pct"/>
          </w:tcPr>
          <w:p w14:paraId="458F9DDC" w14:textId="2AF1FEC6" w:rsidR="0073626F" w:rsidRPr="00720DAD" w:rsidRDefault="0073626F" w:rsidP="007D405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pole</w:t>
            </w:r>
          </w:p>
        </w:tc>
      </w:tr>
      <w:tr w:rsidR="005C3406" w:rsidRPr="0073626F" w14:paraId="78CC45FC" w14:textId="77777777" w:rsidTr="005C3406"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9991" w14:textId="77777777" w:rsidR="005C3406" w:rsidRPr="002C0D21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sléz přeslenitý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2C96" w14:textId="77777777" w:rsidR="005C3406" w:rsidRPr="00A1159E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5953" w14:textId="7B4580BE" w:rsidR="005C3406" w:rsidRPr="00A1159E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</w:t>
            </w:r>
            <w:r w:rsidR="0034594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l/ha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8F1B" w14:textId="7D7E21DB" w:rsidR="005C3406" w:rsidRPr="00A1159E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E35E" w14:textId="2841C9A8" w:rsidR="005C3406" w:rsidRDefault="005C3406" w:rsidP="005C34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</w:t>
            </w:r>
            <w:r w:rsidRPr="006363B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 12 BBCH</w:t>
            </w: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</w:t>
            </w:r>
          </w:p>
          <w:p w14:paraId="6153377B" w14:textId="77777777" w:rsidR="005C3406" w:rsidRPr="00A1159E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do: 30 BBCH 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5B93" w14:textId="77777777" w:rsidR="005C3406" w:rsidRPr="0073626F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pole </w:t>
            </w:r>
          </w:p>
          <w:p w14:paraId="00B9F3D8" w14:textId="77777777" w:rsidR="005C3406" w:rsidRPr="00A1159E" w:rsidRDefault="005C3406" w:rsidP="003D398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62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30D8ACFD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B63D57" w14:textId="081BE2CE" w:rsidR="008F788D" w:rsidRDefault="00720DA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720DAD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4BA4E3AE" w14:textId="73BD71F4" w:rsidR="00E84125" w:rsidRDefault="005C340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4BA9D9A1" w14:textId="77777777" w:rsidR="005C3406" w:rsidRDefault="005C340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161" w:type="pct"/>
        <w:tblInd w:w="0" w:type="dxa"/>
        <w:tblLook w:val="01E0" w:firstRow="1" w:lastRow="1" w:firstColumn="1" w:lastColumn="1" w:noHBand="0" w:noVBand="0"/>
      </w:tblPr>
      <w:tblGrid>
        <w:gridCol w:w="2830"/>
        <w:gridCol w:w="1494"/>
        <w:gridCol w:w="1057"/>
        <w:gridCol w:w="2016"/>
        <w:gridCol w:w="1955"/>
      </w:tblGrid>
      <w:tr w:rsidR="00246F8B" w:rsidRPr="002C0D21" w14:paraId="13844A51" w14:textId="77777777" w:rsidTr="005C3406">
        <w:tc>
          <w:tcPr>
            <w:tcW w:w="1513" w:type="pct"/>
          </w:tcPr>
          <w:p w14:paraId="15EBCEE6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99" w:type="pct"/>
          </w:tcPr>
          <w:p w14:paraId="126D017C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565" w:type="pct"/>
          </w:tcPr>
          <w:p w14:paraId="7ADEA0CD" w14:textId="77777777" w:rsidR="002C0D21" w:rsidRPr="002C0D21" w:rsidRDefault="002C0D21" w:rsidP="007D4054">
            <w:pPr>
              <w:widowControl w:val="0"/>
              <w:spacing w:before="0" w:after="0"/>
              <w:ind w:left="34" w:right="-9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8" w:type="pct"/>
          </w:tcPr>
          <w:p w14:paraId="49CBBF80" w14:textId="77777777" w:rsidR="002C0D21" w:rsidRPr="002C0D21" w:rsidRDefault="002C0D21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045" w:type="pct"/>
          </w:tcPr>
          <w:p w14:paraId="287E620D" w14:textId="77777777" w:rsidR="002C0D21" w:rsidRPr="002C0D21" w:rsidRDefault="002C0D21" w:rsidP="007D4054">
            <w:pPr>
              <w:widowControl w:val="0"/>
              <w:spacing w:before="0" w:after="0"/>
              <w:ind w:left="34" w:hanging="34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D4054" w:rsidRPr="007D4054" w14:paraId="6E571213" w14:textId="77777777" w:rsidTr="005C3406">
        <w:tc>
          <w:tcPr>
            <w:tcW w:w="1513" w:type="pct"/>
          </w:tcPr>
          <w:p w14:paraId="5523C4BD" w14:textId="50CECA52" w:rsidR="007D4054" w:rsidRPr="00A1159E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sléz přeslenitý</w:t>
            </w:r>
          </w:p>
        </w:tc>
        <w:tc>
          <w:tcPr>
            <w:tcW w:w="799" w:type="pct"/>
          </w:tcPr>
          <w:p w14:paraId="583F7328" w14:textId="291FB281" w:rsidR="007D4054" w:rsidRPr="00A1159E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200-400 l/ha</w:t>
            </w:r>
          </w:p>
        </w:tc>
        <w:tc>
          <w:tcPr>
            <w:tcW w:w="565" w:type="pct"/>
          </w:tcPr>
          <w:p w14:paraId="15319FF9" w14:textId="03D46DB2" w:rsidR="007D4054" w:rsidRPr="00A1159E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8" w:type="pct"/>
          </w:tcPr>
          <w:p w14:paraId="2BD2D027" w14:textId="399B5E57" w:rsidR="007D4054" w:rsidRPr="00A1159E" w:rsidRDefault="0034594B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7D4054" w:rsidRPr="007D4054">
              <w:rPr>
                <w:rFonts w:ascii="Times New Roman" w:eastAsiaTheme="minorHAnsi" w:hAnsi="Times New Roman"/>
                <w:sz w:val="24"/>
                <w:szCs w:val="24"/>
              </w:rPr>
              <w:t>x</w:t>
            </w:r>
          </w:p>
        </w:tc>
        <w:tc>
          <w:tcPr>
            <w:tcW w:w="1045" w:type="pct"/>
          </w:tcPr>
          <w:p w14:paraId="51882097" w14:textId="187EF4FE" w:rsidR="007D4054" w:rsidRPr="00A1159E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D4054" w:rsidRPr="007D4054" w14:paraId="37D72395" w14:textId="77777777" w:rsidTr="005C3406">
        <w:tc>
          <w:tcPr>
            <w:tcW w:w="1513" w:type="pct"/>
          </w:tcPr>
          <w:p w14:paraId="5D324D8D" w14:textId="40AFDF7B" w:rsidR="007D4054" w:rsidRPr="00720DAD" w:rsidRDefault="005C3406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3406">
              <w:rPr>
                <w:rFonts w:ascii="Times New Roman" w:eastAsiaTheme="minorHAnsi" w:hAnsi="Times New Roman"/>
                <w:sz w:val="24"/>
                <w:szCs w:val="24"/>
              </w:rPr>
              <w:t>česnek, cibule kuchyňská, cibule šalotka</w:t>
            </w:r>
          </w:p>
        </w:tc>
        <w:tc>
          <w:tcPr>
            <w:tcW w:w="799" w:type="pct"/>
          </w:tcPr>
          <w:p w14:paraId="6DD609B7" w14:textId="400FBE7A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300-400 l/ha</w:t>
            </w:r>
          </w:p>
        </w:tc>
        <w:tc>
          <w:tcPr>
            <w:tcW w:w="565" w:type="pct"/>
          </w:tcPr>
          <w:p w14:paraId="473FAD1D" w14:textId="4DA35E8E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8" w:type="pct"/>
          </w:tcPr>
          <w:p w14:paraId="70E10048" w14:textId="3744A46C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2x</w:t>
            </w:r>
          </w:p>
        </w:tc>
        <w:tc>
          <w:tcPr>
            <w:tcW w:w="1045" w:type="pct"/>
          </w:tcPr>
          <w:p w14:paraId="02D4C6B1" w14:textId="0E0E3281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5-10 dnů</w:t>
            </w:r>
          </w:p>
        </w:tc>
      </w:tr>
      <w:tr w:rsidR="007D4054" w:rsidRPr="007D4054" w14:paraId="0FE62A22" w14:textId="77777777" w:rsidTr="005C3406">
        <w:tc>
          <w:tcPr>
            <w:tcW w:w="1513" w:type="pct"/>
          </w:tcPr>
          <w:p w14:paraId="1A2D826E" w14:textId="37990F4B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řepa salátová</w:t>
            </w:r>
          </w:p>
        </w:tc>
        <w:tc>
          <w:tcPr>
            <w:tcW w:w="799" w:type="pct"/>
          </w:tcPr>
          <w:p w14:paraId="5EF164CA" w14:textId="4349D078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400-600 l/ha</w:t>
            </w:r>
          </w:p>
        </w:tc>
        <w:tc>
          <w:tcPr>
            <w:tcW w:w="565" w:type="pct"/>
          </w:tcPr>
          <w:p w14:paraId="6DB48760" w14:textId="5C1E9AD2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postřik</w:t>
            </w:r>
          </w:p>
        </w:tc>
        <w:tc>
          <w:tcPr>
            <w:tcW w:w="1078" w:type="pct"/>
          </w:tcPr>
          <w:p w14:paraId="41BA6097" w14:textId="745F59A2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4054">
              <w:rPr>
                <w:rFonts w:ascii="Times New Roman" w:eastAsiaTheme="minorHAnsi" w:hAnsi="Times New Roman"/>
                <w:sz w:val="24"/>
                <w:szCs w:val="24"/>
              </w:rPr>
              <w:t>1x</w:t>
            </w:r>
          </w:p>
        </w:tc>
        <w:tc>
          <w:tcPr>
            <w:tcW w:w="1045" w:type="pct"/>
          </w:tcPr>
          <w:p w14:paraId="26185E4B" w14:textId="6BAF3575" w:rsidR="007D4054" w:rsidRPr="00720DAD" w:rsidRDefault="007D4054" w:rsidP="007D405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16008C7" w14:textId="77777777" w:rsidR="00E84125" w:rsidRDefault="00E84125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2946FCE" w14:textId="6CA53CE8" w:rsidR="0034594B" w:rsidRPr="0034594B" w:rsidRDefault="0034594B" w:rsidP="0034594B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4594B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28C2FE51" w14:textId="686B139F" w:rsidR="0034594B" w:rsidRPr="0034594B" w:rsidRDefault="0034594B" w:rsidP="0034594B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34594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p w14:paraId="1E109A9A" w14:textId="77777777" w:rsidR="0034594B" w:rsidRDefault="0034594B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594B">
        <w:rPr>
          <w:rFonts w:ascii="Times New Roman" w:hAnsi="Times New Roman"/>
          <w:sz w:val="24"/>
          <w:szCs w:val="24"/>
        </w:rPr>
        <w:t>Spe</w:t>
      </w:r>
      <w:proofErr w:type="spellEnd"/>
      <w:r w:rsidRPr="0034594B">
        <w:rPr>
          <w:rFonts w:ascii="Times New Roman" w:hAnsi="Times New Roman"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34594B">
        <w:rPr>
          <w:rFonts w:ascii="Times New Roman" w:hAnsi="Times New Roman"/>
          <w:sz w:val="24"/>
          <w:szCs w:val="24"/>
        </w:rPr>
        <w:t>klopyralid</w:t>
      </w:r>
      <w:proofErr w:type="spellEnd"/>
      <w:r w:rsidRPr="0034594B">
        <w:rPr>
          <w:rFonts w:ascii="Times New Roman" w:hAnsi="Times New Roman"/>
          <w:sz w:val="24"/>
          <w:szCs w:val="24"/>
        </w:rPr>
        <w:t>, vícekrát než jednou za dva roky na stejném pozemku pro aplikaci do řepy salátové, cibule kuchyňské, česneku, cibule šalotky a slézu přeslenitého.</w:t>
      </w:r>
    </w:p>
    <w:p w14:paraId="3AEC7FF3" w14:textId="77777777" w:rsidR="0034594B" w:rsidRPr="0034594B" w:rsidRDefault="0034594B" w:rsidP="0034594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77777777" w:rsidR="0098295A" w:rsidRPr="00AA7113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A7113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669BFD70" w14:textId="0956987F" w:rsidR="0034594B" w:rsidRDefault="0034594B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94B">
        <w:rPr>
          <w:rFonts w:ascii="Times New Roman" w:hAnsi="Times New Roman"/>
          <w:sz w:val="24"/>
          <w:szCs w:val="24"/>
        </w:rPr>
        <w:t>Přípravek je vyloučen z použití v ochranném pásmu II. stupně zdrojů podzemní vody pro aplikaci do řepy salátové, cibule kuchyňské, česneku, cibule šalotky a slézu přeslenitého.</w:t>
      </w:r>
    </w:p>
    <w:p w14:paraId="1C1B55D3" w14:textId="02648DAE" w:rsidR="005C3406" w:rsidRP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1048F523" w14:textId="22AA097F" w:rsidR="005C3406" w:rsidRP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248CB6F2" w14:textId="77777777" w:rsidR="005C3406" w:rsidRDefault="005C3406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3406">
        <w:rPr>
          <w:rFonts w:ascii="Times New Roman" w:hAnsi="Times New Roman"/>
          <w:sz w:val="24"/>
          <w:szCs w:val="24"/>
        </w:rPr>
        <w:t>Ruční aplikace (např. ručními/zádovými postřikovači) není povolena.</w:t>
      </w:r>
    </w:p>
    <w:p w14:paraId="4C424D7E" w14:textId="368D29ED" w:rsidR="0020569E" w:rsidRDefault="0020569E" w:rsidP="005C340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0569E">
        <w:rPr>
          <w:rFonts w:ascii="Times New Roman" w:hAnsi="Times New Roman"/>
          <w:sz w:val="24"/>
          <w:szCs w:val="24"/>
        </w:rPr>
        <w:t>Rostliny, na které byl přípravek aplikován, nepoužívejte ke kompostování ani k mulčování.</w:t>
      </w:r>
    </w:p>
    <w:p w14:paraId="03166DBD" w14:textId="77777777" w:rsidR="005C7A88" w:rsidRDefault="005C7A88" w:rsidP="005C7A8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5CBF35E1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7682E0F9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3626F">
        <w:rPr>
          <w:rFonts w:ascii="Times New Roman" w:hAnsi="Times New Roman"/>
          <w:sz w:val="24"/>
          <w:szCs w:val="24"/>
        </w:rPr>
        <w:t>Lontrel</w:t>
      </w:r>
      <w:proofErr w:type="spellEnd"/>
      <w:r w:rsidR="0073626F">
        <w:rPr>
          <w:rFonts w:ascii="Times New Roman" w:hAnsi="Times New Roman"/>
          <w:sz w:val="24"/>
          <w:szCs w:val="24"/>
        </w:rPr>
        <w:t xml:space="preserve"> 300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73626F">
        <w:rPr>
          <w:rFonts w:ascii="Times New Roman" w:hAnsi="Times New Roman"/>
          <w:sz w:val="24"/>
          <w:szCs w:val="24"/>
        </w:rPr>
        <w:t>3429</w:t>
      </w:r>
      <w:r w:rsidR="00FF2A37">
        <w:rPr>
          <w:rFonts w:ascii="Times New Roman" w:hAnsi="Times New Roman"/>
          <w:iCs/>
          <w:sz w:val="24"/>
          <w:szCs w:val="24"/>
        </w:rPr>
        <w:t>-</w:t>
      </w:r>
      <w:r w:rsidR="0073626F">
        <w:rPr>
          <w:rFonts w:ascii="Times New Roman" w:hAnsi="Times New Roman"/>
          <w:iCs/>
          <w:sz w:val="24"/>
          <w:szCs w:val="24"/>
        </w:rPr>
        <w:t>3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308016CF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73626F">
        <w:rPr>
          <w:rFonts w:ascii="Times New Roman" w:hAnsi="Times New Roman"/>
          <w:sz w:val="24"/>
          <w:szCs w:val="24"/>
        </w:rPr>
        <w:t>Lontrel</w:t>
      </w:r>
      <w:proofErr w:type="spellEnd"/>
      <w:r w:rsidR="0073626F">
        <w:rPr>
          <w:rFonts w:ascii="Times New Roman" w:hAnsi="Times New Roman"/>
          <w:sz w:val="24"/>
          <w:szCs w:val="24"/>
        </w:rPr>
        <w:t xml:space="preserve"> 300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58A47B" w14:textId="77777777" w:rsidR="00113988" w:rsidRDefault="00113988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C91BEA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293FF0" w14:textId="77777777" w:rsidR="00B90B4E" w:rsidRDefault="00B90B4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A9416" w14:textId="77777777" w:rsidR="00B90B4E" w:rsidRDefault="00B90B4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F08D" w14:textId="77777777" w:rsidR="00A90B4F" w:rsidRDefault="00A90B4F" w:rsidP="00CE12AE">
      <w:pPr>
        <w:spacing w:after="0" w:line="240" w:lineRule="auto"/>
      </w:pPr>
      <w:r>
        <w:separator/>
      </w:r>
    </w:p>
  </w:endnote>
  <w:endnote w:type="continuationSeparator" w:id="0">
    <w:p w14:paraId="0C36656F" w14:textId="77777777" w:rsidR="00A90B4F" w:rsidRDefault="00A90B4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CD7F" w14:textId="77777777" w:rsidR="00A90B4F" w:rsidRDefault="00A90B4F" w:rsidP="00CE12AE">
      <w:pPr>
        <w:spacing w:after="0" w:line="240" w:lineRule="auto"/>
      </w:pPr>
      <w:r>
        <w:separator/>
      </w:r>
    </w:p>
  </w:footnote>
  <w:footnote w:type="continuationSeparator" w:id="0">
    <w:p w14:paraId="4701A8B4" w14:textId="77777777" w:rsidR="00A90B4F" w:rsidRDefault="00A90B4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B9B"/>
    <w:multiLevelType w:val="hybridMultilevel"/>
    <w:tmpl w:val="85B26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BC4406"/>
    <w:multiLevelType w:val="hybridMultilevel"/>
    <w:tmpl w:val="6F1E2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4"/>
  </w:num>
  <w:num w:numId="2" w16cid:durableId="754008663">
    <w:abstractNumId w:val="10"/>
  </w:num>
  <w:num w:numId="3" w16cid:durableId="1158611392">
    <w:abstractNumId w:val="1"/>
  </w:num>
  <w:num w:numId="4" w16cid:durableId="1449082624">
    <w:abstractNumId w:val="13"/>
  </w:num>
  <w:num w:numId="5" w16cid:durableId="1245143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8"/>
  </w:num>
  <w:num w:numId="7" w16cid:durableId="1081371764">
    <w:abstractNumId w:val="11"/>
  </w:num>
  <w:num w:numId="8" w16cid:durableId="989401416">
    <w:abstractNumId w:val="2"/>
  </w:num>
  <w:num w:numId="9" w16cid:durableId="557673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4"/>
  </w:num>
  <w:num w:numId="12" w16cid:durableId="724833346">
    <w:abstractNumId w:val="6"/>
  </w:num>
  <w:num w:numId="13" w16cid:durableId="678506234">
    <w:abstractNumId w:val="9"/>
  </w:num>
  <w:num w:numId="14" w16cid:durableId="1967199071">
    <w:abstractNumId w:val="5"/>
  </w:num>
  <w:num w:numId="15" w16cid:durableId="1821261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2"/>
  </w:num>
  <w:num w:numId="17" w16cid:durableId="1238248006">
    <w:abstractNumId w:val="0"/>
  </w:num>
  <w:num w:numId="18" w16cid:durableId="393940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E03"/>
    <w:rsid w:val="00001C04"/>
    <w:rsid w:val="00001DEF"/>
    <w:rsid w:val="00005309"/>
    <w:rsid w:val="00010BE9"/>
    <w:rsid w:val="00014878"/>
    <w:rsid w:val="00014F86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142B"/>
    <w:rsid w:val="000A6138"/>
    <w:rsid w:val="000B0B10"/>
    <w:rsid w:val="000B1920"/>
    <w:rsid w:val="000B4579"/>
    <w:rsid w:val="000C47EE"/>
    <w:rsid w:val="000C6C8C"/>
    <w:rsid w:val="000D3435"/>
    <w:rsid w:val="000D475C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13988"/>
    <w:rsid w:val="0012074E"/>
    <w:rsid w:val="00122131"/>
    <w:rsid w:val="001246EC"/>
    <w:rsid w:val="00125FAF"/>
    <w:rsid w:val="00130932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072C"/>
    <w:rsid w:val="0020569E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46F8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97AC1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3B6A"/>
    <w:rsid w:val="002E2E2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4594B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5B89"/>
    <w:rsid w:val="004876D3"/>
    <w:rsid w:val="00490866"/>
    <w:rsid w:val="004914F2"/>
    <w:rsid w:val="00493FE2"/>
    <w:rsid w:val="004A27DB"/>
    <w:rsid w:val="004A4E7F"/>
    <w:rsid w:val="004A6DAB"/>
    <w:rsid w:val="004A6DF7"/>
    <w:rsid w:val="004A701B"/>
    <w:rsid w:val="004B2D54"/>
    <w:rsid w:val="004B31A0"/>
    <w:rsid w:val="004B3EE5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406"/>
    <w:rsid w:val="005C39BB"/>
    <w:rsid w:val="005C54BB"/>
    <w:rsid w:val="005C7A88"/>
    <w:rsid w:val="005D0F79"/>
    <w:rsid w:val="005D34B2"/>
    <w:rsid w:val="005D7355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363B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1C34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5685"/>
    <w:rsid w:val="00715801"/>
    <w:rsid w:val="00716B06"/>
    <w:rsid w:val="007177C1"/>
    <w:rsid w:val="00720DAD"/>
    <w:rsid w:val="00721903"/>
    <w:rsid w:val="007224CF"/>
    <w:rsid w:val="0072722B"/>
    <w:rsid w:val="00727995"/>
    <w:rsid w:val="00727AEC"/>
    <w:rsid w:val="00727DCD"/>
    <w:rsid w:val="00730A41"/>
    <w:rsid w:val="007329F9"/>
    <w:rsid w:val="0073626F"/>
    <w:rsid w:val="0073643F"/>
    <w:rsid w:val="00736C0C"/>
    <w:rsid w:val="007464DE"/>
    <w:rsid w:val="00757065"/>
    <w:rsid w:val="0076169F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6EB7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054"/>
    <w:rsid w:val="007D4385"/>
    <w:rsid w:val="007D5ADD"/>
    <w:rsid w:val="007E1DC1"/>
    <w:rsid w:val="007E7F26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C7911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3032"/>
    <w:rsid w:val="00903FE0"/>
    <w:rsid w:val="0091229B"/>
    <w:rsid w:val="00913704"/>
    <w:rsid w:val="00914790"/>
    <w:rsid w:val="009176F5"/>
    <w:rsid w:val="00921479"/>
    <w:rsid w:val="00922FFA"/>
    <w:rsid w:val="00923E6C"/>
    <w:rsid w:val="00924D43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1CC7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27F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0B4F"/>
    <w:rsid w:val="00A91414"/>
    <w:rsid w:val="00A97558"/>
    <w:rsid w:val="00AA5374"/>
    <w:rsid w:val="00AA60B4"/>
    <w:rsid w:val="00AA6660"/>
    <w:rsid w:val="00AA7113"/>
    <w:rsid w:val="00AA7B81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03E1C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642C"/>
    <w:rsid w:val="00B673F9"/>
    <w:rsid w:val="00B675CA"/>
    <w:rsid w:val="00B7058C"/>
    <w:rsid w:val="00B71739"/>
    <w:rsid w:val="00B724D1"/>
    <w:rsid w:val="00B728AA"/>
    <w:rsid w:val="00B82B5D"/>
    <w:rsid w:val="00B90B4E"/>
    <w:rsid w:val="00BA1AA8"/>
    <w:rsid w:val="00BA2484"/>
    <w:rsid w:val="00BA5602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574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CF7939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0704"/>
    <w:rsid w:val="00DA1B7C"/>
    <w:rsid w:val="00DA20B8"/>
    <w:rsid w:val="00DA3E61"/>
    <w:rsid w:val="00DA6BA3"/>
    <w:rsid w:val="00DB1CCF"/>
    <w:rsid w:val="00DB4689"/>
    <w:rsid w:val="00DC4980"/>
    <w:rsid w:val="00DD2DF6"/>
    <w:rsid w:val="00DD427B"/>
    <w:rsid w:val="00DD5184"/>
    <w:rsid w:val="00DD5B03"/>
    <w:rsid w:val="00DE7AB1"/>
    <w:rsid w:val="00DF04A6"/>
    <w:rsid w:val="00DF6B43"/>
    <w:rsid w:val="00DF6D81"/>
    <w:rsid w:val="00E01661"/>
    <w:rsid w:val="00E03B6C"/>
    <w:rsid w:val="00E04A72"/>
    <w:rsid w:val="00E069FE"/>
    <w:rsid w:val="00E11087"/>
    <w:rsid w:val="00E1663C"/>
    <w:rsid w:val="00E175BD"/>
    <w:rsid w:val="00E201DE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84125"/>
    <w:rsid w:val="00E903E1"/>
    <w:rsid w:val="00E92B90"/>
    <w:rsid w:val="00E95CA6"/>
    <w:rsid w:val="00E96457"/>
    <w:rsid w:val="00E9788D"/>
    <w:rsid w:val="00EA197E"/>
    <w:rsid w:val="00EA3C7D"/>
    <w:rsid w:val="00EA7B5F"/>
    <w:rsid w:val="00EB2D36"/>
    <w:rsid w:val="00EB5C0A"/>
    <w:rsid w:val="00EC0B9B"/>
    <w:rsid w:val="00EC4D59"/>
    <w:rsid w:val="00ED3C25"/>
    <w:rsid w:val="00EE12FB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37B8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B1463"/>
    <w:rsid w:val="00FC2BCF"/>
    <w:rsid w:val="00FC5731"/>
    <w:rsid w:val="00FD171F"/>
    <w:rsid w:val="00FD2B1B"/>
    <w:rsid w:val="00FD563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4531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2021-05-03T11:54:00Z</cp:lastPrinted>
  <dcterms:created xsi:type="dcterms:W3CDTF">2025-10-02T08:45:00Z</dcterms:created>
  <dcterms:modified xsi:type="dcterms:W3CDTF">2025-10-14T06:21:00Z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