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E653" w14:textId="14319D0E" w:rsidR="00C817AE" w:rsidRPr="00C817AE" w:rsidRDefault="00C817AE" w:rsidP="00C817AE">
      <w:pPr>
        <w:jc w:val="center"/>
        <w:rPr>
          <w:rFonts w:ascii="Arial" w:hAnsi="Arial" w:cs="Arial"/>
          <w:sz w:val="36"/>
          <w:szCs w:val="36"/>
        </w:rPr>
      </w:pPr>
      <w:r>
        <w:rPr>
          <w:rFonts w:ascii="Arial" w:hAnsi="Arial" w:cs="Arial"/>
          <w:noProof/>
          <w:lang w:eastAsia="cs-CZ"/>
        </w:rPr>
        <w:drawing>
          <wp:anchor distT="0" distB="0" distL="114300" distR="114300" simplePos="0" relativeHeight="251658240" behindDoc="1" locked="0" layoutInCell="1" allowOverlap="1" wp14:anchorId="55660F2E" wp14:editId="690301EB">
            <wp:simplePos x="0" y="0"/>
            <wp:positionH relativeFrom="column">
              <wp:posOffset>-137795</wp:posOffset>
            </wp:positionH>
            <wp:positionV relativeFrom="paragraph">
              <wp:posOffset>60325</wp:posOffset>
            </wp:positionV>
            <wp:extent cx="771525" cy="857250"/>
            <wp:effectExtent l="0" t="0" r="9525" b="0"/>
            <wp:wrapNone/>
            <wp:docPr id="57611233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7250"/>
                    </a:xfrm>
                    <a:prstGeom prst="rect">
                      <a:avLst/>
                    </a:prstGeom>
                    <a:noFill/>
                  </pic:spPr>
                </pic:pic>
              </a:graphicData>
            </a:graphic>
            <wp14:sizeRelH relativeFrom="page">
              <wp14:pctWidth>0</wp14:pctWidth>
            </wp14:sizeRelH>
            <wp14:sizeRelV relativeFrom="page">
              <wp14:pctHeight>0</wp14:pctHeight>
            </wp14:sizeRelV>
          </wp:anchor>
        </w:drawing>
      </w:r>
      <w:r w:rsidRPr="00C817AE">
        <w:rPr>
          <w:rFonts w:ascii="Arial" w:hAnsi="Arial" w:cs="Arial"/>
          <w:b/>
          <w:bCs/>
          <w:sz w:val="36"/>
          <w:szCs w:val="36"/>
        </w:rPr>
        <w:t>Obec Hojovice</w:t>
      </w:r>
    </w:p>
    <w:p w14:paraId="7DCFE4E0" w14:textId="77777777" w:rsidR="00C817AE" w:rsidRPr="00C817AE" w:rsidRDefault="00C817AE" w:rsidP="00C817AE">
      <w:pPr>
        <w:spacing w:after="0"/>
        <w:jc w:val="center"/>
        <w:rPr>
          <w:rFonts w:ascii="Arial" w:hAnsi="Arial" w:cs="Arial"/>
        </w:rPr>
      </w:pPr>
      <w:r w:rsidRPr="00C817AE">
        <w:rPr>
          <w:rFonts w:ascii="Arial" w:hAnsi="Arial" w:cs="Arial"/>
        </w:rPr>
        <w:t>Hojovice 80, 395 01 Pacov</w:t>
      </w:r>
    </w:p>
    <w:p w14:paraId="2B8C66B4" w14:textId="77777777" w:rsidR="00C817AE" w:rsidRPr="00C817AE" w:rsidRDefault="00C817AE" w:rsidP="00C817AE">
      <w:pPr>
        <w:spacing w:after="0"/>
        <w:jc w:val="center"/>
        <w:rPr>
          <w:rFonts w:ascii="Arial" w:hAnsi="Arial" w:cs="Arial"/>
        </w:rPr>
      </w:pPr>
      <w:r w:rsidRPr="00C817AE">
        <w:rPr>
          <w:rFonts w:ascii="Arial" w:hAnsi="Arial" w:cs="Arial"/>
        </w:rPr>
        <w:t>IČ 00248753</w:t>
      </w:r>
    </w:p>
    <w:p w14:paraId="51A0862D" w14:textId="77777777" w:rsidR="00C817AE" w:rsidRPr="00C817AE" w:rsidRDefault="00C817AE" w:rsidP="00C817AE">
      <w:pPr>
        <w:spacing w:after="0"/>
        <w:jc w:val="center"/>
        <w:rPr>
          <w:rFonts w:ascii="Arial" w:hAnsi="Arial" w:cs="Arial"/>
        </w:rPr>
      </w:pPr>
      <w:r w:rsidRPr="00C817AE">
        <w:rPr>
          <w:rFonts w:ascii="Arial" w:hAnsi="Arial" w:cs="Arial"/>
        </w:rPr>
        <w:t>E-mail: obec.hojovice.starosta@email.cz</w:t>
      </w:r>
    </w:p>
    <w:p w14:paraId="16485E51" w14:textId="19FF1048" w:rsidR="00C817AE" w:rsidRDefault="00C817AE" w:rsidP="00C817AE">
      <w:pPr>
        <w:spacing w:after="0"/>
        <w:jc w:val="center"/>
        <w:rPr>
          <w:rFonts w:ascii="Arial" w:hAnsi="Arial" w:cs="Arial"/>
        </w:rPr>
      </w:pPr>
      <w:r w:rsidRPr="00C817AE">
        <w:rPr>
          <w:rFonts w:ascii="Arial" w:hAnsi="Arial" w:cs="Arial"/>
        </w:rPr>
        <w:t>Tel: +420 722 721</w:t>
      </w:r>
      <w:r>
        <w:rPr>
          <w:rFonts w:ascii="Arial" w:hAnsi="Arial" w:cs="Arial"/>
        </w:rPr>
        <w:t> </w:t>
      </w:r>
      <w:r w:rsidRPr="00C817AE">
        <w:rPr>
          <w:rFonts w:ascii="Arial" w:hAnsi="Arial" w:cs="Arial"/>
        </w:rPr>
        <w:t>720</w:t>
      </w:r>
    </w:p>
    <w:p w14:paraId="0AB0A232" w14:textId="2DDB05E6" w:rsidR="00C817AE" w:rsidRPr="00C817AE" w:rsidRDefault="00C817AE" w:rsidP="00C817AE">
      <w:pPr>
        <w:spacing w:after="0"/>
        <w:jc w:val="center"/>
        <w:rPr>
          <w:rFonts w:ascii="Arial" w:hAnsi="Arial" w:cs="Arial"/>
          <w:b/>
          <w:bCs/>
        </w:rPr>
      </w:pPr>
      <w:r w:rsidRPr="00C817AE">
        <w:rPr>
          <w:rFonts w:ascii="Arial" w:hAnsi="Arial" w:cs="Arial"/>
          <w:b/>
          <w:bCs/>
        </w:rPr>
        <w:t>___________________________________________________________________</w:t>
      </w:r>
    </w:p>
    <w:p w14:paraId="5463D666" w14:textId="77777777" w:rsidR="0047796A" w:rsidRPr="00D71CF6" w:rsidRDefault="0047796A" w:rsidP="00D71CF6">
      <w:pPr>
        <w:spacing w:line="240" w:lineRule="auto"/>
        <w:jc w:val="center"/>
        <w:rPr>
          <w:rFonts w:ascii="Arial" w:hAnsi="Arial" w:cs="Arial"/>
          <w:b/>
          <w:sz w:val="20"/>
          <w:szCs w:val="20"/>
        </w:rPr>
      </w:pPr>
    </w:p>
    <w:p w14:paraId="663AF84D" w14:textId="77777777" w:rsidR="00C717E2" w:rsidRPr="00C717E2" w:rsidRDefault="00C717E2" w:rsidP="00C717E2">
      <w:pPr>
        <w:spacing w:after="120" w:line="276" w:lineRule="auto"/>
        <w:jc w:val="center"/>
        <w:rPr>
          <w:rFonts w:ascii="Arial" w:hAnsi="Arial" w:cs="Arial"/>
          <w:b/>
          <w:kern w:val="0"/>
          <w14:ligatures w14:val="none"/>
        </w:rPr>
      </w:pPr>
      <w:r w:rsidRPr="00C717E2">
        <w:rPr>
          <w:rFonts w:ascii="Arial" w:hAnsi="Arial" w:cs="Arial"/>
          <w:b/>
          <w:kern w:val="0"/>
          <w14:ligatures w14:val="none"/>
        </w:rPr>
        <w:t xml:space="preserve">Obecně závazná vyhláška </w:t>
      </w:r>
    </w:p>
    <w:p w14:paraId="7F5490B7" w14:textId="77777777" w:rsidR="00C717E2" w:rsidRPr="00C717E2" w:rsidRDefault="00C717E2" w:rsidP="00C717E2">
      <w:pPr>
        <w:spacing w:after="120" w:line="276" w:lineRule="auto"/>
        <w:jc w:val="center"/>
        <w:rPr>
          <w:rFonts w:ascii="Arial" w:hAnsi="Arial" w:cs="Arial"/>
          <w:b/>
          <w:kern w:val="0"/>
          <w14:ligatures w14:val="none"/>
        </w:rPr>
      </w:pPr>
      <w:r w:rsidRPr="00C717E2">
        <w:rPr>
          <w:rFonts w:ascii="Arial" w:hAnsi="Arial" w:cs="Arial"/>
          <w:b/>
          <w:kern w:val="0"/>
          <w14:ligatures w14:val="none"/>
        </w:rPr>
        <w:t xml:space="preserve">obce Hojovice </w:t>
      </w:r>
    </w:p>
    <w:p w14:paraId="6A40A826" w14:textId="77777777" w:rsidR="00C717E2" w:rsidRPr="00C717E2" w:rsidRDefault="00C717E2" w:rsidP="00C717E2">
      <w:pPr>
        <w:suppressAutoHyphens/>
        <w:overflowPunct w:val="0"/>
        <w:autoSpaceDE w:val="0"/>
        <w:autoSpaceDN w:val="0"/>
        <w:adjustRightInd w:val="0"/>
        <w:spacing w:after="120" w:line="276" w:lineRule="auto"/>
        <w:jc w:val="center"/>
        <w:textAlignment w:val="baseline"/>
        <w:rPr>
          <w:rFonts w:ascii="Arial" w:eastAsia="Times New Roman" w:hAnsi="Arial" w:cs="Arial"/>
          <w:b/>
          <w:color w:val="000000"/>
          <w:kern w:val="0"/>
          <w:lang w:eastAsia="cs-CZ"/>
          <w14:ligatures w14:val="none"/>
        </w:rPr>
      </w:pPr>
      <w:r w:rsidRPr="00C717E2">
        <w:rPr>
          <w:rFonts w:ascii="Arial" w:eastAsia="Times New Roman" w:hAnsi="Arial" w:cs="Arial"/>
          <w:b/>
          <w:color w:val="000000"/>
          <w:kern w:val="0"/>
          <w:lang w:eastAsia="cs-CZ"/>
          <w14:ligatures w14:val="none"/>
        </w:rPr>
        <w:t>o stanovení obecního systému odpadového hospodářství</w:t>
      </w:r>
    </w:p>
    <w:p w14:paraId="4D7FBAC1" w14:textId="77777777" w:rsidR="00C717E2" w:rsidRPr="00C717E2" w:rsidRDefault="00C717E2" w:rsidP="00C717E2">
      <w:pPr>
        <w:autoSpaceDE w:val="0"/>
        <w:autoSpaceDN w:val="0"/>
        <w:adjustRightInd w:val="0"/>
        <w:spacing w:after="0" w:line="276" w:lineRule="auto"/>
        <w:rPr>
          <w:rFonts w:ascii="Arial" w:hAnsi="Arial" w:cs="Arial"/>
          <w:color w:val="000000"/>
          <w:kern w:val="0"/>
          <w:sz w:val="22"/>
          <w:szCs w:val="22"/>
          <w14:ligatures w14:val="none"/>
        </w:rPr>
      </w:pPr>
    </w:p>
    <w:p w14:paraId="382C6F1B" w14:textId="49B1BC16" w:rsidR="00C717E2" w:rsidRPr="00C717E2" w:rsidRDefault="00C717E2" w:rsidP="00C717E2">
      <w:pPr>
        <w:spacing w:after="120" w:line="276" w:lineRule="auto"/>
        <w:jc w:val="both"/>
        <w:rPr>
          <w:rFonts w:ascii="Arial" w:eastAsia="Times New Roman" w:hAnsi="Arial" w:cs="Arial"/>
          <w:bCs/>
          <w:kern w:val="0"/>
          <w:sz w:val="22"/>
          <w:szCs w:val="22"/>
          <w:lang w:eastAsia="cs-CZ"/>
          <w14:ligatures w14:val="none"/>
        </w:rPr>
      </w:pPr>
      <w:r w:rsidRPr="00C717E2">
        <w:rPr>
          <w:rFonts w:ascii="Arial" w:eastAsia="Times New Roman" w:hAnsi="Arial" w:cs="Arial"/>
          <w:bCs/>
          <w:kern w:val="0"/>
          <w:sz w:val="22"/>
          <w:szCs w:val="22"/>
          <w:lang w:eastAsia="cs-CZ"/>
          <w14:ligatures w14:val="none"/>
        </w:rPr>
        <w:t>Zastupitelstvo obce Hojovice se na svém zasedání dne 08. 12. 2025 usnesením č. 219/21/2025 usneslo vydat na základě § 59 odst. 4 zákona č. 541/2020 Sb</w:t>
      </w:r>
      <w:r>
        <w:rPr>
          <w:rFonts w:ascii="Arial" w:eastAsia="Times New Roman" w:hAnsi="Arial" w:cs="Arial"/>
          <w:bCs/>
          <w:kern w:val="0"/>
          <w:sz w:val="22"/>
          <w:szCs w:val="22"/>
          <w:lang w:eastAsia="cs-CZ"/>
          <w14:ligatures w14:val="none"/>
        </w:rPr>
        <w:t xml:space="preserve">., o odpadech (dále jen „zákon </w:t>
      </w:r>
      <w:r w:rsidRPr="00C717E2">
        <w:rPr>
          <w:rFonts w:ascii="Arial" w:eastAsia="Times New Roman" w:hAnsi="Arial" w:cs="Arial"/>
          <w:bCs/>
          <w:kern w:val="0"/>
          <w:sz w:val="22"/>
          <w:szCs w:val="22"/>
          <w:lang w:eastAsia="cs-CZ"/>
          <w14:ligatures w14:val="none"/>
        </w:rPr>
        <w:t xml:space="preserve">o odpadech“), a v souladu s § 10 písm. d) a § 84 odst. 2 </w:t>
      </w:r>
      <w:r>
        <w:rPr>
          <w:rFonts w:ascii="Arial" w:eastAsia="Times New Roman" w:hAnsi="Arial" w:cs="Arial"/>
          <w:bCs/>
          <w:kern w:val="0"/>
          <w:sz w:val="22"/>
          <w:szCs w:val="22"/>
          <w:lang w:eastAsia="cs-CZ"/>
          <w14:ligatures w14:val="none"/>
        </w:rPr>
        <w:t xml:space="preserve">písm. h) zákonač.128/2000 Sb., </w:t>
      </w:r>
      <w:r w:rsidRPr="00C717E2">
        <w:rPr>
          <w:rFonts w:ascii="Arial" w:eastAsia="Times New Roman" w:hAnsi="Arial" w:cs="Arial"/>
          <w:bCs/>
          <w:kern w:val="0"/>
          <w:sz w:val="22"/>
          <w:szCs w:val="22"/>
          <w:lang w:eastAsia="cs-CZ"/>
          <w14:ligatures w14:val="none"/>
        </w:rPr>
        <w:t>o obcích (obecní zřízení), ve znění pozdějších předpisů, tuto obecně závaznou vyhlášku (dále jen „vyhláška“):</w:t>
      </w:r>
    </w:p>
    <w:p w14:paraId="1BAF355A" w14:textId="77777777" w:rsidR="00C717E2" w:rsidRPr="00C717E2" w:rsidRDefault="00C717E2" w:rsidP="00C717E2">
      <w:pPr>
        <w:spacing w:after="120" w:line="276" w:lineRule="auto"/>
        <w:jc w:val="center"/>
        <w:rPr>
          <w:rFonts w:ascii="Arial" w:hAnsi="Arial" w:cs="Arial"/>
          <w:b/>
          <w:kern w:val="0"/>
          <w:sz w:val="22"/>
          <w:szCs w:val="22"/>
          <w14:ligatures w14:val="none"/>
        </w:rPr>
      </w:pPr>
      <w:r w:rsidRPr="00C717E2">
        <w:rPr>
          <w:rFonts w:ascii="Arial" w:hAnsi="Arial" w:cs="Arial"/>
          <w:b/>
          <w:kern w:val="0"/>
          <w:sz w:val="22"/>
          <w:szCs w:val="22"/>
          <w14:ligatures w14:val="none"/>
        </w:rPr>
        <w:t>Čl. 1</w:t>
      </w:r>
    </w:p>
    <w:p w14:paraId="2B9E8FAB" w14:textId="77777777" w:rsidR="00C717E2" w:rsidRPr="00C717E2" w:rsidRDefault="00C717E2" w:rsidP="00C717E2">
      <w:pPr>
        <w:keepNext/>
        <w:spacing w:after="120" w:line="276" w:lineRule="auto"/>
        <w:jc w:val="center"/>
        <w:outlineLvl w:val="1"/>
        <w:rPr>
          <w:rFonts w:ascii="Arial" w:eastAsia="Times New Roman" w:hAnsi="Arial" w:cs="Arial"/>
          <w:b/>
          <w:bCs/>
          <w:kern w:val="0"/>
          <w:sz w:val="22"/>
          <w:szCs w:val="22"/>
          <w:lang w:eastAsia="cs-CZ"/>
          <w14:ligatures w14:val="none"/>
        </w:rPr>
      </w:pPr>
      <w:r w:rsidRPr="00C717E2">
        <w:rPr>
          <w:rFonts w:ascii="Arial" w:eastAsia="Times New Roman" w:hAnsi="Arial" w:cs="Arial"/>
          <w:b/>
          <w:bCs/>
          <w:kern w:val="0"/>
          <w:sz w:val="22"/>
          <w:szCs w:val="22"/>
          <w:lang w:eastAsia="cs-CZ"/>
          <w14:ligatures w14:val="none"/>
        </w:rPr>
        <w:t>Úvodní ustanovení</w:t>
      </w:r>
    </w:p>
    <w:p w14:paraId="7CFA6204" w14:textId="77777777" w:rsidR="00C717E2" w:rsidRPr="00C717E2" w:rsidRDefault="00C717E2" w:rsidP="00C717E2">
      <w:pPr>
        <w:numPr>
          <w:ilvl w:val="0"/>
          <w:numId w:val="11"/>
        </w:numPr>
        <w:tabs>
          <w:tab w:val="left" w:pos="284"/>
        </w:tabs>
        <w:spacing w:after="120" w:line="276" w:lineRule="auto"/>
        <w:ind w:left="284" w:hanging="284"/>
        <w:jc w:val="both"/>
        <w:rPr>
          <w:rFonts w:ascii="Arial" w:hAnsi="Arial" w:cs="Arial"/>
          <w:kern w:val="0"/>
          <w:sz w:val="22"/>
          <w:szCs w:val="22"/>
          <w14:ligatures w14:val="none"/>
        </w:rPr>
      </w:pPr>
      <w:r w:rsidRPr="00C717E2">
        <w:rPr>
          <w:rFonts w:ascii="Arial" w:hAnsi="Arial" w:cs="Arial"/>
          <w:kern w:val="0"/>
          <w:sz w:val="22"/>
          <w:szCs w:val="22"/>
          <w14:ligatures w14:val="none"/>
        </w:rPr>
        <w:t>Tato vyhláška stanovuje obecní systém odpadového hospodářství na území obce Hojovice</w:t>
      </w:r>
    </w:p>
    <w:p w14:paraId="2C8F3DEC" w14:textId="77777777" w:rsidR="00C717E2" w:rsidRPr="00C717E2" w:rsidRDefault="00C717E2" w:rsidP="00C717E2">
      <w:pPr>
        <w:numPr>
          <w:ilvl w:val="0"/>
          <w:numId w:val="11"/>
        </w:numPr>
        <w:tabs>
          <w:tab w:val="left" w:pos="-142"/>
          <w:tab w:val="left" w:pos="284"/>
        </w:tabs>
        <w:autoSpaceDE w:val="0"/>
        <w:autoSpaceDN w:val="0"/>
        <w:adjustRightInd w:val="0"/>
        <w:spacing w:after="120" w:line="276" w:lineRule="auto"/>
        <w:ind w:left="284" w:hanging="284"/>
        <w:jc w:val="both"/>
        <w:rPr>
          <w:rFonts w:ascii="Arial" w:hAnsi="Arial" w:cs="Arial"/>
          <w:kern w:val="0"/>
          <w:sz w:val="22"/>
          <w:szCs w:val="22"/>
          <w14:ligatures w14:val="none"/>
        </w:rPr>
      </w:pPr>
      <w:r w:rsidRPr="00C717E2">
        <w:rPr>
          <w:rFonts w:ascii="Arial" w:hAnsi="Arial" w:cs="Arial"/>
          <w:kern w:val="0"/>
          <w:sz w:val="22"/>
          <w:szCs w:val="22"/>
          <w14:ligatures w14:val="none"/>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C717E2">
        <w:rPr>
          <w:rFonts w:ascii="Arial" w:hAnsi="Arial" w:cs="Arial"/>
          <w:kern w:val="0"/>
          <w:sz w:val="22"/>
          <w:szCs w:val="22"/>
          <w:vertAlign w:val="superscript"/>
          <w14:ligatures w14:val="none"/>
        </w:rPr>
        <w:footnoteReference w:id="1"/>
      </w:r>
      <w:r w:rsidRPr="00C717E2">
        <w:rPr>
          <w:rFonts w:ascii="Arial" w:hAnsi="Arial" w:cs="Arial"/>
          <w:kern w:val="0"/>
          <w:sz w:val="22"/>
          <w:szCs w:val="22"/>
          <w14:ligatures w14:val="none"/>
        </w:rPr>
        <w:t>.</w:t>
      </w:r>
    </w:p>
    <w:p w14:paraId="0E4753FD" w14:textId="77777777" w:rsidR="00C717E2" w:rsidRPr="00C717E2" w:rsidRDefault="00C717E2" w:rsidP="00C717E2">
      <w:pPr>
        <w:numPr>
          <w:ilvl w:val="0"/>
          <w:numId w:val="11"/>
        </w:numPr>
        <w:tabs>
          <w:tab w:val="left" w:pos="-142"/>
          <w:tab w:val="left" w:pos="284"/>
        </w:tabs>
        <w:autoSpaceDE w:val="0"/>
        <w:autoSpaceDN w:val="0"/>
        <w:adjustRightInd w:val="0"/>
        <w:spacing w:after="120" w:line="276" w:lineRule="auto"/>
        <w:ind w:left="284" w:hanging="284"/>
        <w:jc w:val="both"/>
        <w:rPr>
          <w:rFonts w:ascii="Arial" w:hAnsi="Arial" w:cs="Arial"/>
          <w:kern w:val="0"/>
          <w:sz w:val="22"/>
          <w:szCs w:val="22"/>
          <w14:ligatures w14:val="none"/>
        </w:rPr>
      </w:pPr>
      <w:r w:rsidRPr="00C717E2">
        <w:rPr>
          <w:rFonts w:ascii="Arial" w:hAnsi="Arial" w:cs="Arial"/>
          <w:kern w:val="0"/>
          <w:sz w:val="22"/>
          <w:szCs w:val="22"/>
          <w14:ligatures w14:val="none"/>
        </w:rPr>
        <w:t xml:space="preserve">V okamžiku, kdy osoba zapojená do obecního systému odloží movitou věc nebo odpad, </w:t>
      </w:r>
      <w:r w:rsidRPr="00C717E2">
        <w:rPr>
          <w:rFonts w:ascii="Arial" w:hAnsi="Arial" w:cs="Arial"/>
          <w:kern w:val="0"/>
          <w:sz w:val="22"/>
          <w:szCs w:val="22"/>
          <w14:ligatures w14:val="none"/>
        </w:rPr>
        <w:br/>
        <w:t>s výjimkou výrobků s ukončenou životností, na místě obcí k tomuto účelu určeném, stává se obec vlastníkem této movité věci nebo odpadu</w:t>
      </w:r>
      <w:r w:rsidRPr="00C717E2">
        <w:rPr>
          <w:rFonts w:ascii="Arial" w:hAnsi="Arial" w:cs="Arial"/>
          <w:kern w:val="0"/>
          <w:sz w:val="22"/>
          <w:szCs w:val="22"/>
          <w:vertAlign w:val="superscript"/>
          <w14:ligatures w14:val="none"/>
        </w:rPr>
        <w:footnoteReference w:id="2"/>
      </w:r>
      <w:r w:rsidRPr="00C717E2">
        <w:rPr>
          <w:rFonts w:ascii="Arial" w:hAnsi="Arial" w:cs="Arial"/>
          <w:kern w:val="0"/>
          <w:sz w:val="22"/>
          <w:szCs w:val="22"/>
          <w14:ligatures w14:val="none"/>
        </w:rPr>
        <w:t xml:space="preserve">. </w:t>
      </w:r>
    </w:p>
    <w:p w14:paraId="616DCECD" w14:textId="77777777" w:rsidR="00C717E2" w:rsidRPr="00C717E2" w:rsidRDefault="00C717E2" w:rsidP="00C717E2">
      <w:pPr>
        <w:numPr>
          <w:ilvl w:val="0"/>
          <w:numId w:val="11"/>
        </w:numPr>
        <w:tabs>
          <w:tab w:val="left" w:pos="-142"/>
          <w:tab w:val="left" w:pos="284"/>
        </w:tabs>
        <w:autoSpaceDE w:val="0"/>
        <w:autoSpaceDN w:val="0"/>
        <w:adjustRightInd w:val="0"/>
        <w:spacing w:after="120" w:line="276" w:lineRule="auto"/>
        <w:ind w:left="284" w:hanging="284"/>
        <w:jc w:val="both"/>
        <w:rPr>
          <w:rFonts w:ascii="Arial" w:hAnsi="Arial" w:cs="Arial"/>
          <w:kern w:val="0"/>
          <w:sz w:val="22"/>
          <w:szCs w:val="22"/>
          <w14:ligatures w14:val="none"/>
        </w:rPr>
      </w:pPr>
      <w:r w:rsidRPr="00C717E2">
        <w:rPr>
          <w:rFonts w:ascii="Arial" w:hAnsi="Arial" w:cs="Arial"/>
          <w:kern w:val="0"/>
          <w:sz w:val="22"/>
          <w:szCs w:val="22"/>
          <w14:ligatures w14:val="none"/>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CA369A9" w14:textId="77777777" w:rsidR="00C717E2" w:rsidRPr="00C717E2" w:rsidRDefault="00C717E2" w:rsidP="00C717E2">
      <w:pPr>
        <w:spacing w:after="120" w:line="276" w:lineRule="auto"/>
        <w:rPr>
          <w:rFonts w:ascii="Arial" w:hAnsi="Arial" w:cs="Arial"/>
          <w:b/>
          <w:kern w:val="0"/>
          <w:sz w:val="22"/>
          <w:szCs w:val="22"/>
          <w14:ligatures w14:val="none"/>
        </w:rPr>
      </w:pPr>
    </w:p>
    <w:p w14:paraId="34195468" w14:textId="77777777" w:rsidR="00C717E2" w:rsidRPr="00C717E2" w:rsidRDefault="00C717E2" w:rsidP="00C717E2">
      <w:pPr>
        <w:spacing w:after="120" w:line="276" w:lineRule="auto"/>
        <w:jc w:val="center"/>
        <w:rPr>
          <w:rFonts w:ascii="Arial" w:hAnsi="Arial" w:cs="Arial"/>
          <w:b/>
          <w:kern w:val="0"/>
          <w:sz w:val="22"/>
          <w:szCs w:val="22"/>
          <w14:ligatures w14:val="none"/>
        </w:rPr>
      </w:pPr>
      <w:r w:rsidRPr="00C717E2">
        <w:rPr>
          <w:rFonts w:ascii="Arial" w:hAnsi="Arial" w:cs="Arial"/>
          <w:b/>
          <w:kern w:val="0"/>
          <w:sz w:val="22"/>
          <w:szCs w:val="22"/>
          <w14:ligatures w14:val="none"/>
        </w:rPr>
        <w:t>Čl. 2</w:t>
      </w:r>
    </w:p>
    <w:p w14:paraId="4AC7F5B8" w14:textId="77777777" w:rsidR="00C717E2" w:rsidRPr="00C717E2" w:rsidRDefault="00C717E2" w:rsidP="00C717E2">
      <w:pPr>
        <w:spacing w:after="120" w:line="276" w:lineRule="auto"/>
        <w:jc w:val="center"/>
        <w:rPr>
          <w:rFonts w:ascii="Arial" w:hAnsi="Arial" w:cs="Arial"/>
          <w:kern w:val="0"/>
          <w:sz w:val="22"/>
          <w:szCs w:val="22"/>
          <w14:ligatures w14:val="none"/>
        </w:rPr>
      </w:pPr>
      <w:r w:rsidRPr="00C717E2">
        <w:rPr>
          <w:rFonts w:ascii="Arial" w:hAnsi="Arial" w:cs="Arial"/>
          <w:b/>
          <w:kern w:val="0"/>
          <w:sz w:val="22"/>
          <w:szCs w:val="22"/>
          <w14:ligatures w14:val="none"/>
        </w:rPr>
        <w:t xml:space="preserve">Oddělené soustřeďování komunálního odpadu </w:t>
      </w:r>
    </w:p>
    <w:p w14:paraId="742A68CF" w14:textId="77777777" w:rsidR="00C717E2" w:rsidRPr="00C717E2" w:rsidRDefault="00C717E2" w:rsidP="00C717E2">
      <w:pPr>
        <w:numPr>
          <w:ilvl w:val="0"/>
          <w:numId w:val="9"/>
        </w:numPr>
        <w:spacing w:after="120" w:line="276" w:lineRule="auto"/>
        <w:jc w:val="both"/>
        <w:rPr>
          <w:rFonts w:ascii="Arial" w:hAnsi="Arial" w:cs="Arial"/>
          <w:kern w:val="0"/>
          <w:sz w:val="22"/>
          <w:szCs w:val="22"/>
          <w14:ligatures w14:val="none"/>
        </w:rPr>
      </w:pPr>
      <w:r w:rsidRPr="00C717E2">
        <w:rPr>
          <w:rFonts w:ascii="Arial" w:hAnsi="Arial" w:cs="Arial"/>
          <w:kern w:val="0"/>
          <w:sz w:val="22"/>
          <w:szCs w:val="22"/>
          <w14:ligatures w14:val="none"/>
        </w:rPr>
        <w:t>Osoby předávající komunální odpad na místa určená obcí jsou povinny odděleně soustřeďovat následující složky:</w:t>
      </w:r>
    </w:p>
    <w:p w14:paraId="1A03CCA8" w14:textId="77777777" w:rsidR="00C717E2" w:rsidRPr="00C717E2" w:rsidRDefault="00C717E2" w:rsidP="00C717E2">
      <w:pPr>
        <w:numPr>
          <w:ilvl w:val="0"/>
          <w:numId w:val="7"/>
        </w:numPr>
        <w:autoSpaceDE w:val="0"/>
        <w:autoSpaceDN w:val="0"/>
        <w:adjustRightInd w:val="0"/>
        <w:spacing w:after="120" w:line="276" w:lineRule="auto"/>
        <w:jc w:val="both"/>
        <w:rPr>
          <w:rFonts w:ascii="Arial" w:eastAsia="Calibri" w:hAnsi="Arial" w:cs="Arial"/>
          <w:bCs/>
          <w:kern w:val="0"/>
          <w:sz w:val="22"/>
          <w:szCs w:val="22"/>
          <w14:ligatures w14:val="none"/>
        </w:rPr>
      </w:pPr>
      <w:r w:rsidRPr="00C717E2">
        <w:rPr>
          <w:rFonts w:ascii="Arial" w:eastAsia="Calibri" w:hAnsi="Arial" w:cs="Arial"/>
          <w:bCs/>
          <w:kern w:val="0"/>
          <w:sz w:val="22"/>
          <w:szCs w:val="22"/>
          <w14:ligatures w14:val="none"/>
        </w:rPr>
        <w:t>Biologické odpady,</w:t>
      </w:r>
    </w:p>
    <w:p w14:paraId="1ECEFB76" w14:textId="77777777" w:rsidR="00C717E2" w:rsidRPr="00C717E2" w:rsidRDefault="00C717E2" w:rsidP="00C717E2">
      <w:pPr>
        <w:numPr>
          <w:ilvl w:val="0"/>
          <w:numId w:val="7"/>
        </w:numPr>
        <w:tabs>
          <w:tab w:val="left" w:pos="567"/>
        </w:tabs>
        <w:autoSpaceDE w:val="0"/>
        <w:autoSpaceDN w:val="0"/>
        <w:adjustRightInd w:val="0"/>
        <w:spacing w:after="120" w:line="276" w:lineRule="auto"/>
        <w:rPr>
          <w:rFonts w:ascii="Arial" w:eastAsia="Calibri" w:hAnsi="Arial" w:cs="Arial"/>
          <w:bCs/>
          <w:kern w:val="0"/>
          <w:sz w:val="22"/>
          <w:szCs w:val="22"/>
          <w14:ligatures w14:val="none"/>
        </w:rPr>
      </w:pPr>
      <w:r w:rsidRPr="00C717E2">
        <w:rPr>
          <w:rFonts w:ascii="Arial" w:eastAsia="Calibri" w:hAnsi="Arial" w:cs="Arial"/>
          <w:bCs/>
          <w:kern w:val="0"/>
          <w:sz w:val="22"/>
          <w:szCs w:val="22"/>
          <w14:ligatures w14:val="none"/>
        </w:rPr>
        <w:t>Papír,</w:t>
      </w:r>
    </w:p>
    <w:p w14:paraId="05919AB6" w14:textId="77777777" w:rsidR="00C717E2" w:rsidRPr="00C717E2" w:rsidRDefault="00C717E2" w:rsidP="00C717E2">
      <w:pPr>
        <w:numPr>
          <w:ilvl w:val="0"/>
          <w:numId w:val="7"/>
        </w:numPr>
        <w:tabs>
          <w:tab w:val="left" w:pos="567"/>
        </w:tabs>
        <w:autoSpaceDE w:val="0"/>
        <w:autoSpaceDN w:val="0"/>
        <w:adjustRightInd w:val="0"/>
        <w:spacing w:after="120" w:line="276" w:lineRule="auto"/>
        <w:rPr>
          <w:rFonts w:ascii="Arial" w:eastAsia="Calibri" w:hAnsi="Arial" w:cs="Arial"/>
          <w:bCs/>
          <w:kern w:val="0"/>
          <w:sz w:val="22"/>
          <w:szCs w:val="22"/>
          <w14:ligatures w14:val="none"/>
        </w:rPr>
      </w:pPr>
      <w:r w:rsidRPr="00C717E2">
        <w:rPr>
          <w:rFonts w:ascii="Arial" w:eastAsia="Calibri" w:hAnsi="Arial" w:cs="Arial"/>
          <w:bCs/>
          <w:kern w:val="0"/>
          <w:sz w:val="22"/>
          <w:szCs w:val="22"/>
          <w14:ligatures w14:val="none"/>
        </w:rPr>
        <w:t>Plasty,</w:t>
      </w:r>
    </w:p>
    <w:p w14:paraId="3DE8FE7A" w14:textId="77777777" w:rsidR="00C717E2" w:rsidRPr="00C717E2" w:rsidRDefault="00C717E2" w:rsidP="00C717E2">
      <w:pPr>
        <w:numPr>
          <w:ilvl w:val="0"/>
          <w:numId w:val="7"/>
        </w:numPr>
        <w:autoSpaceDE w:val="0"/>
        <w:autoSpaceDN w:val="0"/>
        <w:adjustRightInd w:val="0"/>
        <w:spacing w:after="120" w:line="276" w:lineRule="auto"/>
        <w:ind w:left="782" w:hanging="357"/>
        <w:rPr>
          <w:rFonts w:ascii="Arial" w:eastAsia="Calibri" w:hAnsi="Arial" w:cs="Arial"/>
          <w:bCs/>
          <w:kern w:val="0"/>
          <w:sz w:val="22"/>
          <w:szCs w:val="22"/>
          <w14:ligatures w14:val="none"/>
        </w:rPr>
      </w:pPr>
      <w:r w:rsidRPr="00C717E2">
        <w:rPr>
          <w:rFonts w:ascii="Arial" w:eastAsia="Calibri" w:hAnsi="Arial" w:cs="Arial"/>
          <w:bCs/>
          <w:kern w:val="0"/>
          <w:sz w:val="22"/>
          <w:szCs w:val="22"/>
          <w14:ligatures w14:val="none"/>
        </w:rPr>
        <w:lastRenderedPageBreak/>
        <w:t>Sklo (čiré, barevné)</w:t>
      </w:r>
    </w:p>
    <w:p w14:paraId="2E77574D" w14:textId="77777777" w:rsidR="00C717E2" w:rsidRPr="00C717E2" w:rsidRDefault="00C717E2" w:rsidP="00C717E2">
      <w:pPr>
        <w:numPr>
          <w:ilvl w:val="0"/>
          <w:numId w:val="7"/>
        </w:numPr>
        <w:autoSpaceDE w:val="0"/>
        <w:autoSpaceDN w:val="0"/>
        <w:adjustRightInd w:val="0"/>
        <w:spacing w:after="120" w:line="276" w:lineRule="auto"/>
        <w:rPr>
          <w:rFonts w:ascii="Arial" w:eastAsia="Calibri" w:hAnsi="Arial" w:cs="Arial"/>
          <w:bCs/>
          <w:kern w:val="0"/>
          <w:sz w:val="22"/>
          <w:szCs w:val="22"/>
          <w14:ligatures w14:val="none"/>
        </w:rPr>
      </w:pPr>
      <w:r w:rsidRPr="00C717E2">
        <w:rPr>
          <w:rFonts w:ascii="Arial" w:eastAsia="Calibri" w:hAnsi="Arial" w:cs="Arial"/>
          <w:bCs/>
          <w:kern w:val="0"/>
          <w:sz w:val="22"/>
          <w:szCs w:val="22"/>
          <w14:ligatures w14:val="none"/>
        </w:rPr>
        <w:t>Kovy,</w:t>
      </w:r>
    </w:p>
    <w:p w14:paraId="335CFBAA" w14:textId="77777777" w:rsidR="00C717E2" w:rsidRPr="00C717E2" w:rsidRDefault="00C717E2" w:rsidP="00C717E2">
      <w:pPr>
        <w:numPr>
          <w:ilvl w:val="0"/>
          <w:numId w:val="7"/>
        </w:numPr>
        <w:spacing w:after="120" w:line="276" w:lineRule="auto"/>
        <w:rPr>
          <w:rFonts w:ascii="Arial" w:hAnsi="Arial" w:cs="Arial"/>
          <w:iCs/>
          <w:kern w:val="0"/>
          <w:sz w:val="22"/>
          <w:szCs w:val="22"/>
          <w14:ligatures w14:val="none"/>
        </w:rPr>
      </w:pPr>
      <w:r w:rsidRPr="00C717E2">
        <w:rPr>
          <w:rFonts w:ascii="Arial" w:hAnsi="Arial" w:cs="Arial"/>
          <w:bCs/>
          <w:kern w:val="0"/>
          <w:sz w:val="22"/>
          <w:szCs w:val="22"/>
          <w14:ligatures w14:val="none"/>
        </w:rPr>
        <w:t>Nebezpečné složky komunálních odpadů</w:t>
      </w:r>
    </w:p>
    <w:p w14:paraId="112F88AB" w14:textId="77777777" w:rsidR="00C717E2" w:rsidRPr="00C717E2" w:rsidRDefault="00C717E2" w:rsidP="00C717E2">
      <w:pPr>
        <w:numPr>
          <w:ilvl w:val="0"/>
          <w:numId w:val="7"/>
        </w:numPr>
        <w:spacing w:after="120" w:line="276" w:lineRule="auto"/>
        <w:rPr>
          <w:rFonts w:ascii="Arial" w:hAnsi="Arial" w:cs="Arial"/>
          <w:bCs/>
          <w:kern w:val="0"/>
          <w:sz w:val="22"/>
          <w:szCs w:val="22"/>
          <w14:ligatures w14:val="none"/>
        </w:rPr>
      </w:pPr>
      <w:r w:rsidRPr="00C717E2">
        <w:rPr>
          <w:rFonts w:ascii="Arial" w:hAnsi="Arial" w:cs="Arial"/>
          <w:bCs/>
          <w:kern w:val="0"/>
          <w:sz w:val="22"/>
          <w:szCs w:val="22"/>
          <w14:ligatures w14:val="none"/>
        </w:rPr>
        <w:t>Objemný odpad,</w:t>
      </w:r>
    </w:p>
    <w:p w14:paraId="679ACEC7" w14:textId="77777777" w:rsidR="00C717E2" w:rsidRPr="00C717E2" w:rsidRDefault="00C717E2" w:rsidP="00C717E2">
      <w:pPr>
        <w:numPr>
          <w:ilvl w:val="0"/>
          <w:numId w:val="7"/>
        </w:numPr>
        <w:spacing w:after="120" w:line="276" w:lineRule="auto"/>
        <w:rPr>
          <w:rFonts w:ascii="Arial" w:hAnsi="Arial" w:cs="Arial"/>
          <w:iCs/>
          <w:kern w:val="0"/>
          <w:sz w:val="22"/>
          <w:szCs w:val="22"/>
          <w14:ligatures w14:val="none"/>
        </w:rPr>
      </w:pPr>
      <w:r w:rsidRPr="00C717E2">
        <w:rPr>
          <w:rFonts w:ascii="Arial" w:hAnsi="Arial" w:cs="Arial"/>
          <w:iCs/>
          <w:kern w:val="0"/>
          <w:sz w:val="22"/>
          <w:szCs w:val="22"/>
          <w14:ligatures w14:val="none"/>
        </w:rPr>
        <w:t>Jedlé oleje a tuky,</w:t>
      </w:r>
    </w:p>
    <w:p w14:paraId="38FB8D26" w14:textId="77777777" w:rsidR="00C717E2" w:rsidRPr="00C717E2" w:rsidRDefault="00C717E2" w:rsidP="00C717E2">
      <w:pPr>
        <w:numPr>
          <w:ilvl w:val="0"/>
          <w:numId w:val="7"/>
        </w:numPr>
        <w:spacing w:after="120" w:line="276" w:lineRule="auto"/>
        <w:rPr>
          <w:rFonts w:ascii="Arial" w:hAnsi="Arial" w:cs="Arial"/>
          <w:iCs/>
          <w:kern w:val="0"/>
          <w:sz w:val="22"/>
          <w:szCs w:val="22"/>
          <w14:ligatures w14:val="none"/>
        </w:rPr>
      </w:pPr>
      <w:r w:rsidRPr="00C717E2">
        <w:rPr>
          <w:rFonts w:ascii="Arial" w:hAnsi="Arial" w:cs="Arial"/>
          <w:iCs/>
          <w:kern w:val="0"/>
          <w:sz w:val="22"/>
          <w:szCs w:val="22"/>
          <w14:ligatures w14:val="none"/>
        </w:rPr>
        <w:t xml:space="preserve">Textil. </w:t>
      </w:r>
    </w:p>
    <w:p w14:paraId="2562B104" w14:textId="77777777" w:rsidR="00C717E2" w:rsidRPr="00C717E2" w:rsidRDefault="00C717E2" w:rsidP="00C717E2">
      <w:pPr>
        <w:numPr>
          <w:ilvl w:val="0"/>
          <w:numId w:val="9"/>
        </w:numPr>
        <w:spacing w:after="120" w:line="276" w:lineRule="auto"/>
        <w:jc w:val="both"/>
        <w:rPr>
          <w:rFonts w:ascii="Arial" w:eastAsia="Times New Roman" w:hAnsi="Arial" w:cs="Arial"/>
          <w:kern w:val="0"/>
          <w:sz w:val="22"/>
          <w:szCs w:val="22"/>
          <w:lang w:eastAsia="cs-CZ"/>
          <w14:ligatures w14:val="none"/>
        </w:rPr>
      </w:pPr>
      <w:r w:rsidRPr="00C717E2">
        <w:rPr>
          <w:rFonts w:ascii="Arial" w:eastAsia="Times New Roman" w:hAnsi="Arial" w:cs="Arial"/>
          <w:kern w:val="0"/>
          <w:sz w:val="22"/>
          <w:szCs w:val="22"/>
          <w:lang w:eastAsia="cs-CZ"/>
          <w14:ligatures w14:val="none"/>
        </w:rPr>
        <w:t>Objemný odpad je takový odpad, který vzhledem ke svým rozměrům nemůže být umístěn do sběrných nádob (např. koberce, matrace, nábytek, apod.).</w:t>
      </w:r>
    </w:p>
    <w:p w14:paraId="562DA17F" w14:textId="77777777" w:rsidR="00C717E2" w:rsidRPr="00C717E2" w:rsidRDefault="00C717E2" w:rsidP="00C717E2">
      <w:pPr>
        <w:spacing w:after="120" w:line="276" w:lineRule="auto"/>
        <w:jc w:val="both"/>
        <w:rPr>
          <w:rFonts w:ascii="Arial" w:eastAsia="Times New Roman" w:hAnsi="Arial" w:cs="Arial"/>
          <w:kern w:val="0"/>
          <w:sz w:val="22"/>
          <w:szCs w:val="22"/>
          <w:lang w:eastAsia="cs-CZ"/>
          <w14:ligatures w14:val="none"/>
        </w:rPr>
      </w:pPr>
    </w:p>
    <w:p w14:paraId="2F996412" w14:textId="77777777" w:rsidR="00C717E2" w:rsidRPr="00C717E2" w:rsidRDefault="00C717E2" w:rsidP="00C717E2">
      <w:pPr>
        <w:spacing w:after="120" w:line="276" w:lineRule="auto"/>
        <w:jc w:val="center"/>
        <w:rPr>
          <w:rFonts w:ascii="Arial" w:hAnsi="Arial" w:cs="Arial"/>
          <w:b/>
          <w:kern w:val="0"/>
          <w:sz w:val="22"/>
          <w:szCs w:val="22"/>
          <w14:ligatures w14:val="none"/>
        </w:rPr>
      </w:pPr>
      <w:r w:rsidRPr="00C717E2">
        <w:rPr>
          <w:rFonts w:ascii="Arial" w:hAnsi="Arial" w:cs="Arial"/>
          <w:b/>
          <w:kern w:val="0"/>
          <w:sz w:val="22"/>
          <w:szCs w:val="22"/>
          <w14:ligatures w14:val="none"/>
        </w:rPr>
        <w:t>Čl. 3</w:t>
      </w:r>
    </w:p>
    <w:p w14:paraId="2AA0E5B3" w14:textId="77777777" w:rsidR="00C717E2" w:rsidRPr="00C717E2" w:rsidRDefault="00C717E2" w:rsidP="00C717E2">
      <w:pPr>
        <w:keepNext/>
        <w:spacing w:after="120" w:line="276" w:lineRule="auto"/>
        <w:jc w:val="center"/>
        <w:outlineLvl w:val="1"/>
        <w:rPr>
          <w:rFonts w:ascii="Arial" w:eastAsia="Times New Roman" w:hAnsi="Arial" w:cs="Arial"/>
          <w:b/>
          <w:bCs/>
          <w:kern w:val="0"/>
          <w:sz w:val="22"/>
          <w:szCs w:val="22"/>
          <w:lang w:eastAsia="cs-CZ"/>
          <w14:ligatures w14:val="none"/>
        </w:rPr>
      </w:pPr>
      <w:r w:rsidRPr="00C717E2">
        <w:rPr>
          <w:rFonts w:ascii="Arial" w:eastAsia="Times New Roman" w:hAnsi="Arial" w:cs="Arial"/>
          <w:b/>
          <w:bCs/>
          <w:kern w:val="0"/>
          <w:sz w:val="22"/>
          <w:szCs w:val="22"/>
          <w:lang w:eastAsia="cs-CZ"/>
          <w14:ligatures w14:val="none"/>
        </w:rPr>
        <w:t>Soustřeďování papíru, plastů, skla, kovů, biologického odpadu, jedlých olejů a tuků, textilu</w:t>
      </w:r>
    </w:p>
    <w:p w14:paraId="7998D1BA" w14:textId="77777777" w:rsidR="00C717E2" w:rsidRPr="00C717E2" w:rsidRDefault="00C717E2" w:rsidP="00C717E2">
      <w:pPr>
        <w:numPr>
          <w:ilvl w:val="0"/>
          <w:numId w:val="4"/>
        </w:numPr>
        <w:tabs>
          <w:tab w:val="num" w:pos="540"/>
          <w:tab w:val="num" w:pos="927"/>
        </w:tabs>
        <w:spacing w:after="120" w:line="276" w:lineRule="auto"/>
        <w:jc w:val="both"/>
        <w:rPr>
          <w:rFonts w:ascii="Arial" w:hAnsi="Arial" w:cs="Arial"/>
          <w:kern w:val="0"/>
          <w:sz w:val="22"/>
          <w:szCs w:val="22"/>
          <w14:ligatures w14:val="none"/>
        </w:rPr>
      </w:pPr>
      <w:r w:rsidRPr="00C717E2">
        <w:rPr>
          <w:rFonts w:ascii="Arial" w:hAnsi="Arial" w:cs="Arial"/>
          <w:kern w:val="0"/>
          <w:sz w:val="22"/>
          <w:szCs w:val="22"/>
          <w14:ligatures w14:val="none"/>
        </w:rPr>
        <w:t xml:space="preserve">Papír, plasty, sklo, kovy, biologické odpady, jedlé oleje a tuky, textil se soustřeďují do </w:t>
      </w:r>
      <w:r w:rsidRPr="00C717E2">
        <w:rPr>
          <w:rFonts w:ascii="Arial" w:hAnsi="Arial" w:cs="Arial"/>
          <w:bCs/>
          <w:kern w:val="0"/>
          <w:sz w:val="22"/>
          <w:szCs w:val="22"/>
          <w14:ligatures w14:val="none"/>
        </w:rPr>
        <w:t>zvláštních sběrných nádob</w:t>
      </w:r>
      <w:r w:rsidRPr="00C717E2">
        <w:rPr>
          <w:rFonts w:ascii="Arial" w:hAnsi="Arial" w:cs="Arial"/>
          <w:kern w:val="0"/>
          <w:sz w:val="22"/>
          <w:szCs w:val="22"/>
          <w14:ligatures w14:val="none"/>
        </w:rPr>
        <w:t>, kterými jsou:</w:t>
      </w:r>
    </w:p>
    <w:p w14:paraId="76B2B445" w14:textId="77777777" w:rsidR="00C717E2" w:rsidRPr="00C717E2" w:rsidRDefault="00C717E2" w:rsidP="00C717E2">
      <w:pPr>
        <w:numPr>
          <w:ilvl w:val="0"/>
          <w:numId w:val="12"/>
        </w:numPr>
        <w:tabs>
          <w:tab w:val="num" w:pos="540"/>
          <w:tab w:val="num" w:pos="927"/>
        </w:tabs>
        <w:spacing w:after="200" w:line="276" w:lineRule="auto"/>
        <w:contextualSpacing/>
        <w:jc w:val="both"/>
        <w:rPr>
          <w:rFonts w:ascii="Arial" w:eastAsia="Calibri" w:hAnsi="Arial" w:cs="Arial"/>
          <w:kern w:val="0"/>
          <w:sz w:val="22"/>
          <w:szCs w:val="22"/>
          <w14:ligatures w14:val="none"/>
        </w:rPr>
      </w:pPr>
      <w:r w:rsidRPr="00C717E2">
        <w:rPr>
          <w:rFonts w:ascii="Arial" w:eastAsia="Calibri" w:hAnsi="Arial" w:cs="Arial"/>
          <w:kern w:val="0"/>
          <w:sz w:val="22"/>
          <w:szCs w:val="22"/>
          <w14:ligatures w14:val="none"/>
        </w:rPr>
        <w:t>1100 kontejnery na papír a plast na veřejných sběrných místech, 240l nádoby u domů v systému D2D (individuální), koše na tříděný odpad na veřejných prostranstvích</w:t>
      </w:r>
    </w:p>
    <w:p w14:paraId="40BAA3E4" w14:textId="77777777" w:rsidR="00C717E2" w:rsidRPr="00C717E2" w:rsidRDefault="00C717E2" w:rsidP="00C717E2">
      <w:pPr>
        <w:numPr>
          <w:ilvl w:val="0"/>
          <w:numId w:val="12"/>
        </w:numPr>
        <w:tabs>
          <w:tab w:val="num" w:pos="540"/>
          <w:tab w:val="num" w:pos="927"/>
        </w:tabs>
        <w:spacing w:after="200" w:line="276" w:lineRule="auto"/>
        <w:contextualSpacing/>
        <w:jc w:val="both"/>
        <w:rPr>
          <w:rFonts w:ascii="Arial" w:eastAsia="Calibri" w:hAnsi="Arial" w:cs="Arial"/>
          <w:kern w:val="0"/>
          <w:sz w:val="22"/>
          <w:szCs w:val="22"/>
          <w14:ligatures w14:val="none"/>
        </w:rPr>
      </w:pPr>
      <w:r w:rsidRPr="00C717E2">
        <w:rPr>
          <w:rFonts w:ascii="Arial" w:eastAsia="Calibri" w:hAnsi="Arial" w:cs="Arial"/>
          <w:kern w:val="0"/>
          <w:sz w:val="22"/>
          <w:szCs w:val="22"/>
          <w14:ligatures w14:val="none"/>
        </w:rPr>
        <w:t>1100 nádoby na barevné a bílé sklo</w:t>
      </w:r>
    </w:p>
    <w:p w14:paraId="532E4029" w14:textId="77777777" w:rsidR="00C717E2" w:rsidRPr="00C717E2" w:rsidRDefault="00C717E2" w:rsidP="00C717E2">
      <w:pPr>
        <w:numPr>
          <w:ilvl w:val="0"/>
          <w:numId w:val="12"/>
        </w:numPr>
        <w:tabs>
          <w:tab w:val="num" w:pos="540"/>
          <w:tab w:val="num" w:pos="927"/>
        </w:tabs>
        <w:spacing w:after="200" w:line="276" w:lineRule="auto"/>
        <w:contextualSpacing/>
        <w:jc w:val="both"/>
        <w:rPr>
          <w:rFonts w:ascii="Arial" w:eastAsia="Calibri" w:hAnsi="Arial" w:cs="Arial"/>
          <w:kern w:val="0"/>
          <w:sz w:val="22"/>
          <w:szCs w:val="22"/>
          <w14:ligatures w14:val="none"/>
        </w:rPr>
      </w:pPr>
      <w:r w:rsidRPr="00C717E2">
        <w:rPr>
          <w:rFonts w:ascii="Arial" w:eastAsia="Calibri" w:hAnsi="Arial" w:cs="Arial"/>
          <w:kern w:val="0"/>
          <w:sz w:val="22"/>
          <w:szCs w:val="22"/>
          <w14:ligatures w14:val="none"/>
        </w:rPr>
        <w:t>Velkoobjemové kontejnery (VOK) na bioodpad, 240l nádoby u domů v systému D2D (individuální)</w:t>
      </w:r>
    </w:p>
    <w:p w14:paraId="30605909" w14:textId="77777777" w:rsidR="00C717E2" w:rsidRPr="00C717E2" w:rsidRDefault="00C717E2" w:rsidP="00C717E2">
      <w:pPr>
        <w:numPr>
          <w:ilvl w:val="0"/>
          <w:numId w:val="12"/>
        </w:numPr>
        <w:tabs>
          <w:tab w:val="num" w:pos="540"/>
          <w:tab w:val="num" w:pos="927"/>
        </w:tabs>
        <w:spacing w:after="200" w:line="276" w:lineRule="auto"/>
        <w:contextualSpacing/>
        <w:jc w:val="both"/>
        <w:rPr>
          <w:rFonts w:ascii="Arial" w:eastAsia="Calibri" w:hAnsi="Arial" w:cs="Arial"/>
          <w:kern w:val="0"/>
          <w:sz w:val="22"/>
          <w:szCs w:val="22"/>
          <w14:ligatures w14:val="none"/>
        </w:rPr>
      </w:pPr>
      <w:r w:rsidRPr="00C717E2">
        <w:rPr>
          <w:rFonts w:ascii="Arial" w:eastAsia="Calibri" w:hAnsi="Arial" w:cs="Arial"/>
          <w:kern w:val="0"/>
          <w:sz w:val="22"/>
          <w:szCs w:val="22"/>
          <w14:ligatures w14:val="none"/>
        </w:rPr>
        <w:t>Sběrné kontejnery na textil</w:t>
      </w:r>
    </w:p>
    <w:p w14:paraId="7B447692" w14:textId="77777777" w:rsidR="00C717E2" w:rsidRPr="00C717E2" w:rsidRDefault="00C717E2" w:rsidP="00C717E2">
      <w:pPr>
        <w:numPr>
          <w:ilvl w:val="0"/>
          <w:numId w:val="12"/>
        </w:numPr>
        <w:tabs>
          <w:tab w:val="num" w:pos="540"/>
          <w:tab w:val="num" w:pos="927"/>
        </w:tabs>
        <w:spacing w:after="200" w:line="276" w:lineRule="auto"/>
        <w:contextualSpacing/>
        <w:jc w:val="both"/>
        <w:rPr>
          <w:rFonts w:ascii="Arial" w:eastAsia="Calibri" w:hAnsi="Arial" w:cs="Arial"/>
          <w:kern w:val="0"/>
          <w:sz w:val="22"/>
          <w:szCs w:val="22"/>
          <w14:ligatures w14:val="none"/>
        </w:rPr>
      </w:pPr>
      <w:r w:rsidRPr="00C717E2">
        <w:rPr>
          <w:rFonts w:ascii="Arial" w:eastAsia="Calibri" w:hAnsi="Arial" w:cs="Arial"/>
          <w:kern w:val="0"/>
          <w:sz w:val="22"/>
          <w:szCs w:val="22"/>
          <w14:ligatures w14:val="none"/>
        </w:rPr>
        <w:t>120l nádoby na sběr jedlých olejů a tuků</w:t>
      </w:r>
    </w:p>
    <w:p w14:paraId="0C85CA1C" w14:textId="77777777" w:rsidR="00C717E2" w:rsidRPr="00C717E2" w:rsidRDefault="00C717E2" w:rsidP="00C717E2">
      <w:pPr>
        <w:numPr>
          <w:ilvl w:val="0"/>
          <w:numId w:val="12"/>
        </w:numPr>
        <w:tabs>
          <w:tab w:val="num" w:pos="540"/>
          <w:tab w:val="num" w:pos="927"/>
        </w:tabs>
        <w:spacing w:after="200" w:line="276" w:lineRule="auto"/>
        <w:contextualSpacing/>
        <w:jc w:val="both"/>
        <w:rPr>
          <w:rFonts w:ascii="Arial" w:eastAsia="Calibri" w:hAnsi="Arial" w:cs="Arial"/>
          <w:kern w:val="0"/>
          <w:sz w:val="22"/>
          <w:szCs w:val="22"/>
          <w14:ligatures w14:val="none"/>
        </w:rPr>
      </w:pPr>
      <w:r w:rsidRPr="00C717E2">
        <w:rPr>
          <w:rFonts w:ascii="Arial" w:eastAsia="Calibri" w:hAnsi="Arial" w:cs="Arial"/>
          <w:kern w:val="0"/>
          <w:sz w:val="22"/>
          <w:szCs w:val="22"/>
          <w14:ligatures w14:val="none"/>
        </w:rPr>
        <w:t>1100l kontejnery na směsný komunální odpad, 120l nádoby u domů.</w:t>
      </w:r>
    </w:p>
    <w:p w14:paraId="03A74C72" w14:textId="77777777" w:rsidR="00C717E2" w:rsidRPr="00C717E2" w:rsidRDefault="00C717E2" w:rsidP="00C717E2">
      <w:pPr>
        <w:numPr>
          <w:ilvl w:val="0"/>
          <w:numId w:val="4"/>
        </w:numPr>
        <w:tabs>
          <w:tab w:val="num" w:pos="540"/>
          <w:tab w:val="num" w:pos="927"/>
        </w:tabs>
        <w:spacing w:after="120" w:line="276" w:lineRule="auto"/>
        <w:ind w:left="0" w:firstLine="0"/>
        <w:jc w:val="both"/>
        <w:rPr>
          <w:rFonts w:ascii="Arial" w:eastAsia="Times New Roman" w:hAnsi="Arial" w:cs="Arial"/>
          <w:kern w:val="0"/>
          <w:sz w:val="22"/>
          <w:szCs w:val="22"/>
          <w:lang w:eastAsia="cs-CZ"/>
          <w14:ligatures w14:val="none"/>
        </w:rPr>
      </w:pPr>
      <w:r w:rsidRPr="00C717E2">
        <w:rPr>
          <w:rFonts w:ascii="Arial" w:eastAsia="Times New Roman" w:hAnsi="Arial" w:cs="Arial"/>
          <w:kern w:val="0"/>
          <w:sz w:val="22"/>
          <w:szCs w:val="22"/>
          <w:lang w:eastAsia="cs-CZ"/>
          <w14:ligatures w14:val="none"/>
        </w:rPr>
        <w:t xml:space="preserve">Zvláštní sběrné nádoby jsou umístěny na těchto stanovištích v obci Hojovice: </w:t>
      </w:r>
    </w:p>
    <w:p w14:paraId="442C74B3" w14:textId="77777777" w:rsidR="00C717E2" w:rsidRPr="00C717E2" w:rsidRDefault="00C717E2" w:rsidP="00C717E2">
      <w:pPr>
        <w:numPr>
          <w:ilvl w:val="0"/>
          <w:numId w:val="12"/>
        </w:numPr>
        <w:spacing w:after="120" w:line="276" w:lineRule="auto"/>
        <w:contextualSpacing/>
        <w:jc w:val="both"/>
        <w:rPr>
          <w:rFonts w:ascii="Arial" w:eastAsia="Calibri" w:hAnsi="Arial" w:cs="Arial"/>
          <w:kern w:val="0"/>
          <w:sz w:val="22"/>
          <w:szCs w:val="22"/>
          <w14:ligatures w14:val="none"/>
        </w:rPr>
      </w:pPr>
      <w:r w:rsidRPr="00C717E2">
        <w:rPr>
          <w:rFonts w:ascii="Arial" w:eastAsia="Calibri" w:hAnsi="Arial" w:cs="Arial"/>
          <w:kern w:val="0"/>
          <w:sz w:val="22"/>
          <w:szCs w:val="22"/>
          <w14:ligatures w14:val="none"/>
        </w:rPr>
        <w:t xml:space="preserve">Sběrné nádoby na papír, sklo, plast, textil a jedlé oleje a tuky jsou umístěny na pozemku parcelního čísla 74/1 za obecním úřadem v jeho zadní části. </w:t>
      </w:r>
    </w:p>
    <w:p w14:paraId="7885D536" w14:textId="77777777" w:rsidR="00C717E2" w:rsidRPr="00C717E2" w:rsidRDefault="00C717E2" w:rsidP="00C717E2">
      <w:pPr>
        <w:numPr>
          <w:ilvl w:val="0"/>
          <w:numId w:val="12"/>
        </w:numPr>
        <w:spacing w:after="120" w:line="276" w:lineRule="auto"/>
        <w:contextualSpacing/>
        <w:jc w:val="both"/>
        <w:rPr>
          <w:rFonts w:ascii="Arial" w:eastAsia="Calibri" w:hAnsi="Arial" w:cs="Arial"/>
          <w:kern w:val="0"/>
          <w:sz w:val="22"/>
          <w:szCs w:val="22"/>
          <w14:ligatures w14:val="none"/>
        </w:rPr>
      </w:pPr>
      <w:r w:rsidRPr="00C717E2">
        <w:rPr>
          <w:rFonts w:ascii="Arial" w:eastAsia="Calibri" w:hAnsi="Arial" w:cs="Arial"/>
          <w:kern w:val="0"/>
          <w:sz w:val="22"/>
          <w:szCs w:val="22"/>
          <w14:ligatures w14:val="none"/>
        </w:rPr>
        <w:t>Sběrné místo na kovy je umístěno na sběrném dvoře – místě – u stavby č.p. 90</w:t>
      </w:r>
    </w:p>
    <w:p w14:paraId="41515ED2" w14:textId="77777777" w:rsidR="00C717E2" w:rsidRPr="00C717E2" w:rsidRDefault="00C717E2" w:rsidP="00C717E2">
      <w:pPr>
        <w:numPr>
          <w:ilvl w:val="0"/>
          <w:numId w:val="12"/>
        </w:numPr>
        <w:spacing w:after="120" w:line="276" w:lineRule="auto"/>
        <w:contextualSpacing/>
        <w:jc w:val="both"/>
        <w:rPr>
          <w:rFonts w:ascii="Arial" w:eastAsia="Calibri" w:hAnsi="Arial" w:cs="Arial"/>
          <w:kern w:val="0"/>
          <w:sz w:val="22"/>
          <w:szCs w:val="22"/>
          <w14:ligatures w14:val="none"/>
        </w:rPr>
      </w:pPr>
      <w:r w:rsidRPr="00C717E2">
        <w:rPr>
          <w:rFonts w:ascii="Arial" w:eastAsia="Calibri" w:hAnsi="Arial" w:cs="Arial"/>
          <w:kern w:val="0"/>
          <w:sz w:val="22"/>
          <w:szCs w:val="22"/>
          <w14:ligatures w14:val="none"/>
        </w:rPr>
        <w:t>Sběrné místo na biologické odpady je umístěno na pozemku parcelní číslo 880 – ZD Černovice.</w:t>
      </w:r>
    </w:p>
    <w:p w14:paraId="69AF6ED6" w14:textId="77777777" w:rsidR="00C717E2" w:rsidRPr="00C717E2" w:rsidRDefault="00C717E2" w:rsidP="00C717E2">
      <w:pPr>
        <w:numPr>
          <w:ilvl w:val="0"/>
          <w:numId w:val="4"/>
        </w:numPr>
        <w:tabs>
          <w:tab w:val="num" w:pos="540"/>
          <w:tab w:val="num" w:pos="927"/>
        </w:tabs>
        <w:spacing w:after="120" w:line="276" w:lineRule="auto"/>
        <w:ind w:left="0" w:firstLine="0"/>
        <w:jc w:val="both"/>
        <w:rPr>
          <w:rFonts w:ascii="Arial" w:eastAsia="Times New Roman" w:hAnsi="Arial" w:cs="Arial"/>
          <w:kern w:val="0"/>
          <w:sz w:val="22"/>
          <w:szCs w:val="22"/>
          <w:lang w:eastAsia="cs-CZ"/>
          <w14:ligatures w14:val="none"/>
        </w:rPr>
      </w:pPr>
      <w:r w:rsidRPr="00C717E2">
        <w:rPr>
          <w:rFonts w:ascii="Arial" w:eastAsia="Times New Roman" w:hAnsi="Arial" w:cs="Arial"/>
          <w:kern w:val="0"/>
          <w:sz w:val="22"/>
          <w:szCs w:val="22"/>
          <w:lang w:eastAsia="cs-CZ"/>
          <w14:ligatures w14:val="none"/>
        </w:rPr>
        <w:t>Zvláštní sběrné nádoby jsou barevně odlišeny a označeny příslušnými nápisy:</w:t>
      </w:r>
    </w:p>
    <w:p w14:paraId="0A3BEBB3" w14:textId="77777777" w:rsidR="00C717E2" w:rsidRPr="00C717E2" w:rsidRDefault="00C717E2" w:rsidP="00C717E2">
      <w:pPr>
        <w:numPr>
          <w:ilvl w:val="0"/>
          <w:numId w:val="10"/>
        </w:numPr>
        <w:spacing w:after="200" w:line="276" w:lineRule="auto"/>
        <w:contextualSpacing/>
        <w:rPr>
          <w:rFonts w:ascii="Arial" w:eastAsia="Calibri" w:hAnsi="Arial" w:cs="Arial"/>
          <w:bCs/>
          <w:iCs/>
          <w:color w:val="000000"/>
          <w:kern w:val="0"/>
          <w:sz w:val="22"/>
          <w:szCs w:val="22"/>
          <w14:ligatures w14:val="none"/>
        </w:rPr>
      </w:pPr>
      <w:r w:rsidRPr="00C717E2">
        <w:rPr>
          <w:rFonts w:ascii="Arial" w:eastAsia="Calibri" w:hAnsi="Arial" w:cs="Arial"/>
          <w:b/>
          <w:iCs/>
          <w:color w:val="000000"/>
          <w:kern w:val="0"/>
          <w:sz w:val="22"/>
          <w:szCs w:val="22"/>
          <w14:ligatures w14:val="none"/>
        </w:rPr>
        <w:t>Biologické odpady</w:t>
      </w:r>
      <w:r w:rsidRPr="00C717E2">
        <w:rPr>
          <w:rFonts w:ascii="Arial" w:eastAsia="Calibri" w:hAnsi="Arial" w:cs="Arial"/>
          <w:bCs/>
          <w:iCs/>
          <w:color w:val="000000"/>
          <w:kern w:val="0"/>
          <w:sz w:val="22"/>
          <w:szCs w:val="22"/>
          <w14:ligatures w14:val="none"/>
        </w:rPr>
        <w:t xml:space="preserve"> - barva hnědá, 240l nádoby v systému D2D,</w:t>
      </w:r>
    </w:p>
    <w:p w14:paraId="37CDF158" w14:textId="77777777" w:rsidR="00C717E2" w:rsidRPr="00C717E2" w:rsidRDefault="00C717E2" w:rsidP="00C717E2">
      <w:pPr>
        <w:numPr>
          <w:ilvl w:val="0"/>
          <w:numId w:val="10"/>
        </w:numPr>
        <w:autoSpaceDE w:val="0"/>
        <w:autoSpaceDN w:val="0"/>
        <w:adjustRightInd w:val="0"/>
        <w:spacing w:after="120" w:line="276" w:lineRule="auto"/>
        <w:contextualSpacing/>
        <w:jc w:val="both"/>
        <w:rPr>
          <w:rFonts w:ascii="Arial" w:eastAsia="Calibri" w:hAnsi="Arial" w:cs="Arial"/>
          <w:bCs/>
          <w:iCs/>
          <w:color w:val="000000"/>
          <w:kern w:val="0"/>
          <w:sz w:val="22"/>
          <w:szCs w:val="22"/>
          <w14:ligatures w14:val="none"/>
        </w:rPr>
      </w:pPr>
      <w:r w:rsidRPr="00C717E2">
        <w:rPr>
          <w:rFonts w:ascii="Arial" w:eastAsia="Calibri" w:hAnsi="Arial" w:cs="Arial"/>
          <w:b/>
          <w:iCs/>
          <w:color w:val="000000"/>
          <w:kern w:val="0"/>
          <w:sz w:val="22"/>
          <w:szCs w:val="22"/>
          <w14:ligatures w14:val="none"/>
        </w:rPr>
        <w:t xml:space="preserve">Papír </w:t>
      </w:r>
      <w:r w:rsidRPr="00C717E2">
        <w:rPr>
          <w:rFonts w:ascii="Arial" w:eastAsia="Calibri" w:hAnsi="Arial" w:cs="Arial"/>
          <w:bCs/>
          <w:iCs/>
          <w:color w:val="000000"/>
          <w:kern w:val="0"/>
          <w:sz w:val="22"/>
          <w:szCs w:val="22"/>
          <w14:ligatures w14:val="none"/>
        </w:rPr>
        <w:t>- barva modrá, modře označené 1100l kontejnery na veřejných sběrných místech, modré 240l nádoby v systému D2D,</w:t>
      </w:r>
    </w:p>
    <w:p w14:paraId="72B08319" w14:textId="77777777" w:rsidR="00C717E2" w:rsidRPr="00C717E2" w:rsidRDefault="00C717E2" w:rsidP="00C717E2">
      <w:pPr>
        <w:numPr>
          <w:ilvl w:val="0"/>
          <w:numId w:val="10"/>
        </w:numPr>
        <w:autoSpaceDE w:val="0"/>
        <w:autoSpaceDN w:val="0"/>
        <w:adjustRightInd w:val="0"/>
        <w:spacing w:after="120" w:line="276" w:lineRule="auto"/>
        <w:contextualSpacing/>
        <w:rPr>
          <w:rFonts w:ascii="Arial" w:eastAsia="Calibri" w:hAnsi="Arial" w:cs="Arial"/>
          <w:bCs/>
          <w:iCs/>
          <w:kern w:val="0"/>
          <w:sz w:val="22"/>
          <w:szCs w:val="22"/>
          <w14:ligatures w14:val="none"/>
        </w:rPr>
      </w:pPr>
      <w:r w:rsidRPr="00C717E2">
        <w:rPr>
          <w:rFonts w:ascii="Arial" w:eastAsia="Calibri" w:hAnsi="Arial" w:cs="Arial"/>
          <w:b/>
          <w:bCs/>
          <w:iCs/>
          <w:color w:val="000000"/>
          <w:kern w:val="0"/>
          <w:sz w:val="22"/>
          <w:szCs w:val="22"/>
          <w14:ligatures w14:val="none"/>
        </w:rPr>
        <w:t>Plasty -</w:t>
      </w:r>
      <w:r w:rsidRPr="00C717E2">
        <w:rPr>
          <w:rFonts w:ascii="Arial" w:eastAsia="Calibri" w:hAnsi="Arial" w:cs="Arial"/>
          <w:bCs/>
          <w:iCs/>
          <w:color w:val="000000"/>
          <w:kern w:val="0"/>
          <w:sz w:val="22"/>
          <w:szCs w:val="22"/>
          <w14:ligatures w14:val="none"/>
        </w:rPr>
        <w:t xml:space="preserve"> barva žlutá, žlutě označené 1100l kontejnery na veřejných sběrných místech, žluté 240l nádoby v systému D2D</w:t>
      </w:r>
      <w:r w:rsidRPr="00C717E2">
        <w:rPr>
          <w:rFonts w:ascii="Arial" w:eastAsia="Calibri" w:hAnsi="Arial" w:cs="Arial"/>
          <w:bCs/>
          <w:iCs/>
          <w:kern w:val="0"/>
          <w:sz w:val="22"/>
          <w:szCs w:val="22"/>
          <w14:ligatures w14:val="none"/>
        </w:rPr>
        <w:t xml:space="preserve"> </w:t>
      </w:r>
    </w:p>
    <w:p w14:paraId="78A256E1" w14:textId="77777777" w:rsidR="00C717E2" w:rsidRPr="00C717E2" w:rsidRDefault="00C717E2" w:rsidP="00C717E2">
      <w:pPr>
        <w:numPr>
          <w:ilvl w:val="0"/>
          <w:numId w:val="10"/>
        </w:numPr>
        <w:autoSpaceDE w:val="0"/>
        <w:autoSpaceDN w:val="0"/>
        <w:adjustRightInd w:val="0"/>
        <w:spacing w:after="0" w:line="276" w:lineRule="auto"/>
        <w:contextualSpacing/>
        <w:jc w:val="both"/>
        <w:rPr>
          <w:rFonts w:ascii="Arial" w:eastAsia="Calibri" w:hAnsi="Arial" w:cs="Arial"/>
          <w:bCs/>
          <w:iCs/>
          <w:color w:val="000000"/>
          <w:kern w:val="0"/>
          <w:sz w:val="22"/>
          <w:szCs w:val="22"/>
          <w14:ligatures w14:val="none"/>
        </w:rPr>
      </w:pPr>
      <w:r w:rsidRPr="00C717E2">
        <w:rPr>
          <w:rFonts w:ascii="Arial" w:eastAsia="Calibri" w:hAnsi="Arial" w:cs="Arial"/>
          <w:b/>
          <w:bCs/>
          <w:iCs/>
          <w:color w:val="000000"/>
          <w:kern w:val="0"/>
          <w:sz w:val="22"/>
          <w:szCs w:val="22"/>
          <w14:ligatures w14:val="none"/>
        </w:rPr>
        <w:t>Sklo čiré a barevné</w:t>
      </w:r>
      <w:r w:rsidRPr="00C717E2">
        <w:rPr>
          <w:rFonts w:ascii="Arial" w:eastAsia="Calibri" w:hAnsi="Arial" w:cs="Arial"/>
          <w:bCs/>
          <w:iCs/>
          <w:color w:val="000000"/>
          <w:kern w:val="0"/>
          <w:sz w:val="22"/>
          <w:szCs w:val="22"/>
          <w14:ligatures w14:val="none"/>
        </w:rPr>
        <w:t xml:space="preserve"> - barva bílá, 1100l nádoba na sklo, barva zelená, nádoba na sklo 1100l</w:t>
      </w:r>
    </w:p>
    <w:p w14:paraId="06EBFF3C" w14:textId="77777777" w:rsidR="00C717E2" w:rsidRPr="00C717E2" w:rsidRDefault="00C717E2" w:rsidP="00C717E2">
      <w:pPr>
        <w:numPr>
          <w:ilvl w:val="0"/>
          <w:numId w:val="10"/>
        </w:numPr>
        <w:spacing w:after="0" w:line="276" w:lineRule="auto"/>
        <w:rPr>
          <w:rFonts w:ascii="Arial" w:hAnsi="Arial" w:cs="Arial"/>
          <w:iCs/>
          <w:kern w:val="0"/>
          <w:sz w:val="22"/>
          <w:szCs w:val="22"/>
          <w14:ligatures w14:val="none"/>
        </w:rPr>
      </w:pPr>
      <w:r w:rsidRPr="00C717E2">
        <w:rPr>
          <w:rFonts w:ascii="Arial" w:hAnsi="Arial" w:cs="Arial"/>
          <w:b/>
          <w:bCs/>
          <w:iCs/>
          <w:kern w:val="0"/>
          <w:sz w:val="22"/>
          <w:szCs w:val="22"/>
          <w14:ligatures w14:val="none"/>
        </w:rPr>
        <w:t xml:space="preserve">Jedlé oleje a tuky </w:t>
      </w:r>
      <w:r w:rsidRPr="00C717E2">
        <w:rPr>
          <w:rFonts w:ascii="Arial" w:hAnsi="Arial" w:cs="Arial"/>
          <w:iCs/>
          <w:kern w:val="0"/>
          <w:sz w:val="22"/>
          <w:szCs w:val="22"/>
          <w14:ligatures w14:val="none"/>
        </w:rPr>
        <w:t>- barva černá, nádoba 120 l, vkládání oleje v platových nádobách,</w:t>
      </w:r>
    </w:p>
    <w:p w14:paraId="26AB6043" w14:textId="77777777" w:rsidR="00C717E2" w:rsidRPr="00C717E2" w:rsidRDefault="00C717E2" w:rsidP="00C717E2">
      <w:pPr>
        <w:numPr>
          <w:ilvl w:val="0"/>
          <w:numId w:val="10"/>
        </w:numPr>
        <w:spacing w:after="0" w:line="276" w:lineRule="auto"/>
        <w:rPr>
          <w:rFonts w:ascii="Arial" w:hAnsi="Arial" w:cs="Arial"/>
          <w:iCs/>
          <w:kern w:val="0"/>
          <w:sz w:val="22"/>
          <w:szCs w:val="22"/>
          <w14:ligatures w14:val="none"/>
        </w:rPr>
      </w:pPr>
      <w:r w:rsidRPr="00C717E2">
        <w:rPr>
          <w:rFonts w:ascii="Arial" w:eastAsia="Times New Roman" w:hAnsi="Arial" w:cs="Arial"/>
          <w:b/>
          <w:bCs/>
          <w:iCs/>
          <w:kern w:val="0"/>
          <w:sz w:val="22"/>
          <w:szCs w:val="22"/>
          <w:lang w:eastAsia="cs-CZ"/>
          <w14:ligatures w14:val="none"/>
        </w:rPr>
        <w:t xml:space="preserve">Textil </w:t>
      </w:r>
      <w:r w:rsidRPr="00C717E2">
        <w:rPr>
          <w:rFonts w:ascii="Arial" w:eastAsia="Times New Roman" w:hAnsi="Arial" w:cs="Arial"/>
          <w:iCs/>
          <w:kern w:val="0"/>
          <w:sz w:val="22"/>
          <w:szCs w:val="22"/>
          <w:lang w:eastAsia="cs-CZ"/>
          <w14:ligatures w14:val="none"/>
        </w:rPr>
        <w:t>-</w:t>
      </w:r>
      <w:r w:rsidRPr="00C717E2">
        <w:rPr>
          <w:rFonts w:ascii="Arial" w:eastAsia="Times New Roman" w:hAnsi="Arial" w:cs="Arial"/>
          <w:b/>
          <w:bCs/>
          <w:iCs/>
          <w:kern w:val="0"/>
          <w:sz w:val="22"/>
          <w:szCs w:val="22"/>
          <w:lang w:eastAsia="cs-CZ"/>
          <w14:ligatures w14:val="none"/>
        </w:rPr>
        <w:t xml:space="preserve"> </w:t>
      </w:r>
      <w:r w:rsidRPr="00C717E2">
        <w:rPr>
          <w:rFonts w:ascii="Arial" w:eastAsia="Times New Roman" w:hAnsi="Arial" w:cs="Arial"/>
          <w:iCs/>
          <w:kern w:val="0"/>
          <w:sz w:val="22"/>
          <w:szCs w:val="22"/>
          <w:lang w:eastAsia="cs-CZ"/>
          <w14:ligatures w14:val="none"/>
        </w:rPr>
        <w:t>sběrné nádoby s klopným vkládáním</w:t>
      </w:r>
    </w:p>
    <w:p w14:paraId="1798BE6A" w14:textId="77777777" w:rsidR="00C717E2" w:rsidRPr="00C717E2" w:rsidRDefault="00C717E2" w:rsidP="00C717E2">
      <w:pPr>
        <w:numPr>
          <w:ilvl w:val="0"/>
          <w:numId w:val="10"/>
        </w:numPr>
        <w:spacing w:after="0" w:line="276" w:lineRule="auto"/>
        <w:rPr>
          <w:rFonts w:ascii="Arial" w:hAnsi="Arial" w:cs="Arial"/>
          <w:iCs/>
          <w:kern w:val="0"/>
          <w:sz w:val="22"/>
          <w:szCs w:val="22"/>
          <w14:ligatures w14:val="none"/>
        </w:rPr>
      </w:pPr>
      <w:r w:rsidRPr="00C717E2">
        <w:rPr>
          <w:rFonts w:ascii="Arial" w:eastAsia="Times New Roman" w:hAnsi="Arial" w:cs="Arial"/>
          <w:b/>
          <w:bCs/>
          <w:iCs/>
          <w:kern w:val="0"/>
          <w:sz w:val="22"/>
          <w:szCs w:val="22"/>
          <w:lang w:eastAsia="cs-CZ"/>
          <w14:ligatures w14:val="none"/>
        </w:rPr>
        <w:t xml:space="preserve">Kovy – </w:t>
      </w:r>
      <w:r w:rsidRPr="00C717E2">
        <w:rPr>
          <w:rFonts w:ascii="Arial" w:eastAsia="Times New Roman" w:hAnsi="Arial" w:cs="Arial"/>
          <w:bCs/>
          <w:iCs/>
          <w:kern w:val="0"/>
          <w:sz w:val="22"/>
          <w:szCs w:val="22"/>
          <w:lang w:eastAsia="cs-CZ"/>
          <w14:ligatures w14:val="none"/>
        </w:rPr>
        <w:t>kóje s označením KOVY</w:t>
      </w:r>
      <w:r w:rsidRPr="00C717E2">
        <w:rPr>
          <w:rFonts w:ascii="Arial" w:hAnsi="Arial" w:cs="Arial"/>
          <w:iCs/>
          <w:kern w:val="0"/>
          <w:sz w:val="22"/>
          <w:szCs w:val="22"/>
          <w14:ligatures w14:val="none"/>
        </w:rPr>
        <w:t>,</w:t>
      </w:r>
    </w:p>
    <w:p w14:paraId="59CD9457" w14:textId="77777777" w:rsidR="00C717E2" w:rsidRPr="00C717E2" w:rsidRDefault="00C717E2" w:rsidP="00C717E2">
      <w:pPr>
        <w:numPr>
          <w:ilvl w:val="0"/>
          <w:numId w:val="10"/>
        </w:numPr>
        <w:spacing w:after="0" w:line="276" w:lineRule="auto"/>
        <w:rPr>
          <w:rFonts w:ascii="Arial" w:hAnsi="Arial" w:cs="Arial"/>
          <w:iCs/>
          <w:kern w:val="0"/>
          <w:sz w:val="22"/>
          <w:szCs w:val="22"/>
          <w14:ligatures w14:val="none"/>
        </w:rPr>
      </w:pPr>
      <w:r w:rsidRPr="00C717E2">
        <w:rPr>
          <w:rFonts w:ascii="Arial" w:eastAsia="Times New Roman" w:hAnsi="Arial" w:cs="Arial"/>
          <w:b/>
          <w:bCs/>
          <w:iCs/>
          <w:kern w:val="0"/>
          <w:sz w:val="22"/>
          <w:szCs w:val="22"/>
          <w:lang w:eastAsia="cs-CZ"/>
          <w14:ligatures w14:val="none"/>
        </w:rPr>
        <w:t xml:space="preserve">Biologický odpad – </w:t>
      </w:r>
      <w:r w:rsidRPr="00C717E2">
        <w:rPr>
          <w:rFonts w:ascii="Arial" w:eastAsia="Times New Roman" w:hAnsi="Arial" w:cs="Arial"/>
          <w:bCs/>
          <w:iCs/>
          <w:kern w:val="0"/>
          <w:sz w:val="22"/>
          <w:szCs w:val="22"/>
          <w:lang w:eastAsia="cs-CZ"/>
          <w14:ligatures w14:val="none"/>
        </w:rPr>
        <w:t>pozemek parcelní číslo</w:t>
      </w:r>
      <w:r w:rsidRPr="00C717E2">
        <w:rPr>
          <w:rFonts w:ascii="Arial" w:hAnsi="Arial" w:cs="Arial"/>
          <w:iCs/>
          <w:kern w:val="0"/>
          <w:sz w:val="22"/>
          <w:szCs w:val="22"/>
          <w14:ligatures w14:val="none"/>
        </w:rPr>
        <w:t xml:space="preserve"> 880</w:t>
      </w:r>
    </w:p>
    <w:p w14:paraId="3EC0B169" w14:textId="77777777" w:rsidR="00C717E2" w:rsidRPr="00C717E2" w:rsidRDefault="00C717E2" w:rsidP="00C717E2">
      <w:pPr>
        <w:spacing w:after="0" w:line="276" w:lineRule="auto"/>
        <w:ind w:left="720"/>
        <w:rPr>
          <w:rFonts w:ascii="Arial" w:hAnsi="Arial" w:cs="Arial"/>
          <w:iCs/>
          <w:kern w:val="0"/>
          <w:sz w:val="22"/>
          <w:szCs w:val="22"/>
          <w14:ligatures w14:val="none"/>
        </w:rPr>
      </w:pPr>
    </w:p>
    <w:p w14:paraId="0162E0E4" w14:textId="77777777" w:rsidR="00C717E2" w:rsidRPr="00C717E2" w:rsidRDefault="00C717E2" w:rsidP="00C717E2">
      <w:pPr>
        <w:numPr>
          <w:ilvl w:val="0"/>
          <w:numId w:val="4"/>
        </w:numPr>
        <w:spacing w:after="120" w:line="276" w:lineRule="auto"/>
        <w:jc w:val="both"/>
        <w:rPr>
          <w:rFonts w:ascii="Arial" w:hAnsi="Arial" w:cs="Arial"/>
          <w:kern w:val="0"/>
          <w:sz w:val="22"/>
          <w:szCs w:val="22"/>
          <w14:ligatures w14:val="none"/>
        </w:rPr>
      </w:pPr>
      <w:r w:rsidRPr="00C717E2">
        <w:rPr>
          <w:rFonts w:ascii="Arial" w:hAnsi="Arial" w:cs="Arial"/>
          <w:kern w:val="0"/>
          <w:sz w:val="22"/>
          <w:szCs w:val="22"/>
          <w14:ligatures w14:val="none"/>
        </w:rPr>
        <w:lastRenderedPageBreak/>
        <w:t>Do zvláštních sběrných nádob je zakázáno ukládat jiné složky komunálních odpadů, než pro které jsou určeny.</w:t>
      </w:r>
    </w:p>
    <w:p w14:paraId="495A32D7" w14:textId="77777777" w:rsidR="00C717E2" w:rsidRPr="00C717E2" w:rsidRDefault="00C717E2" w:rsidP="00C717E2">
      <w:pPr>
        <w:numPr>
          <w:ilvl w:val="0"/>
          <w:numId w:val="4"/>
        </w:numPr>
        <w:spacing w:after="120" w:line="276" w:lineRule="auto"/>
        <w:jc w:val="both"/>
        <w:rPr>
          <w:rFonts w:ascii="Arial" w:hAnsi="Arial" w:cs="Arial"/>
          <w:kern w:val="0"/>
          <w:sz w:val="22"/>
          <w:szCs w:val="22"/>
          <w14:ligatures w14:val="none"/>
        </w:rPr>
      </w:pPr>
      <w:r w:rsidRPr="00C717E2">
        <w:rPr>
          <w:rFonts w:ascii="Arial" w:hAnsi="Arial" w:cs="Arial"/>
          <w:kern w:val="0"/>
          <w:sz w:val="22"/>
          <w:szCs w:val="22"/>
          <w14:ligatures w14:val="none"/>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45D3BCC" w14:textId="77777777" w:rsidR="00C717E2" w:rsidRPr="00C717E2" w:rsidRDefault="00C717E2" w:rsidP="00C717E2">
      <w:pPr>
        <w:autoSpaceDE w:val="0"/>
        <w:autoSpaceDN w:val="0"/>
        <w:adjustRightInd w:val="0"/>
        <w:spacing w:after="120" w:line="276" w:lineRule="auto"/>
        <w:rPr>
          <w:rFonts w:ascii="Arial" w:eastAsia="Times New Roman" w:hAnsi="Arial" w:cs="Arial"/>
          <w:color w:val="0070C0"/>
          <w:kern w:val="0"/>
          <w:sz w:val="22"/>
          <w:szCs w:val="22"/>
          <w:lang w:eastAsia="cs-CZ"/>
          <w14:ligatures w14:val="none"/>
        </w:rPr>
      </w:pPr>
    </w:p>
    <w:p w14:paraId="27CBD04F" w14:textId="77777777" w:rsidR="00C717E2" w:rsidRPr="00C717E2" w:rsidRDefault="00C717E2" w:rsidP="00C717E2">
      <w:pPr>
        <w:keepNext/>
        <w:spacing w:after="120" w:line="276" w:lineRule="auto"/>
        <w:jc w:val="center"/>
        <w:outlineLvl w:val="1"/>
        <w:rPr>
          <w:rFonts w:ascii="Arial" w:eastAsia="Times New Roman" w:hAnsi="Arial" w:cs="Arial"/>
          <w:b/>
          <w:bCs/>
          <w:kern w:val="0"/>
          <w:sz w:val="22"/>
          <w:szCs w:val="22"/>
          <w:lang w:eastAsia="cs-CZ"/>
          <w14:ligatures w14:val="none"/>
        </w:rPr>
      </w:pPr>
      <w:r w:rsidRPr="00C717E2">
        <w:rPr>
          <w:rFonts w:ascii="Arial" w:eastAsia="Times New Roman" w:hAnsi="Arial" w:cs="Arial"/>
          <w:b/>
          <w:bCs/>
          <w:kern w:val="0"/>
          <w:sz w:val="22"/>
          <w:szCs w:val="22"/>
          <w:lang w:eastAsia="cs-CZ"/>
          <w14:ligatures w14:val="none"/>
        </w:rPr>
        <w:t>Čl. 4</w:t>
      </w:r>
    </w:p>
    <w:p w14:paraId="51034050" w14:textId="77777777" w:rsidR="00C717E2" w:rsidRPr="00C717E2" w:rsidRDefault="00C717E2" w:rsidP="00C717E2">
      <w:pPr>
        <w:keepNext/>
        <w:spacing w:after="120" w:line="276" w:lineRule="auto"/>
        <w:jc w:val="center"/>
        <w:outlineLvl w:val="1"/>
        <w:rPr>
          <w:rFonts w:ascii="Arial" w:eastAsia="Times New Roman" w:hAnsi="Arial" w:cs="Arial"/>
          <w:b/>
          <w:bCs/>
          <w:kern w:val="0"/>
          <w:sz w:val="22"/>
          <w:szCs w:val="22"/>
          <w:lang w:eastAsia="cs-CZ"/>
          <w14:ligatures w14:val="none"/>
        </w:rPr>
      </w:pPr>
      <w:r w:rsidRPr="00C717E2">
        <w:rPr>
          <w:rFonts w:ascii="Arial" w:eastAsia="Times New Roman" w:hAnsi="Arial" w:cs="Arial"/>
          <w:b/>
          <w:bCs/>
          <w:kern w:val="0"/>
          <w:sz w:val="22"/>
          <w:szCs w:val="22"/>
          <w:lang w:eastAsia="cs-CZ"/>
          <w14:ligatures w14:val="none"/>
        </w:rPr>
        <w:t>Svoz nebezpečných složek komunálního odpadu</w:t>
      </w:r>
    </w:p>
    <w:p w14:paraId="04C72032" w14:textId="77777777" w:rsidR="00C717E2" w:rsidRPr="00C717E2" w:rsidRDefault="00C717E2" w:rsidP="00C717E2">
      <w:pPr>
        <w:numPr>
          <w:ilvl w:val="0"/>
          <w:numId w:val="8"/>
        </w:numPr>
        <w:spacing w:after="120" w:line="276" w:lineRule="auto"/>
        <w:jc w:val="both"/>
        <w:rPr>
          <w:rFonts w:ascii="Arial" w:hAnsi="Arial" w:cs="Arial"/>
          <w:iCs/>
          <w:kern w:val="0"/>
          <w:sz w:val="22"/>
          <w:szCs w:val="22"/>
          <w14:ligatures w14:val="none"/>
        </w:rPr>
      </w:pPr>
      <w:r w:rsidRPr="00C717E2">
        <w:rPr>
          <w:rFonts w:ascii="Arial" w:hAnsi="Arial" w:cs="Arial"/>
          <w:kern w:val="0"/>
          <w:sz w:val="22"/>
          <w:szCs w:val="22"/>
          <w14:ligatures w14:val="none"/>
        </w:rPr>
        <w:t xml:space="preserve">Svoz nebezpečných složek komunálního odpadu je zajišťován </w:t>
      </w:r>
      <w:r w:rsidRPr="00C717E2">
        <w:rPr>
          <w:rFonts w:ascii="Arial" w:hAnsi="Arial" w:cs="Arial"/>
          <w:iCs/>
          <w:kern w:val="0"/>
          <w:sz w:val="22"/>
          <w:szCs w:val="22"/>
          <w14:ligatures w14:val="none"/>
        </w:rPr>
        <w:t xml:space="preserve">minimálně dvakrát ročně </w:t>
      </w:r>
      <w:r w:rsidRPr="00C717E2">
        <w:rPr>
          <w:rFonts w:ascii="Arial" w:hAnsi="Arial" w:cs="Arial"/>
          <w:kern w:val="0"/>
          <w:sz w:val="22"/>
          <w:szCs w:val="22"/>
          <w14:ligatures w14:val="none"/>
        </w:rPr>
        <w:t xml:space="preserve">jejich odebíráním na předem vyhlášených přechodných stanovištích přímo do zvláštních sběrných nádob k tomuto sběru určených. Informace o svozu jsou zveřejňovány </w:t>
      </w:r>
      <w:r w:rsidRPr="00C717E2">
        <w:rPr>
          <w:rFonts w:ascii="Arial" w:hAnsi="Arial" w:cs="Arial"/>
          <w:iCs/>
          <w:kern w:val="0"/>
          <w:sz w:val="22"/>
          <w:szCs w:val="22"/>
          <w14:ligatures w14:val="none"/>
        </w:rPr>
        <w:t>na úřední desce obecního elektronické úřední desce.</w:t>
      </w:r>
    </w:p>
    <w:p w14:paraId="662ADD8D" w14:textId="77777777" w:rsidR="00C717E2" w:rsidRPr="00C717E2" w:rsidRDefault="00C717E2" w:rsidP="00C717E2">
      <w:pPr>
        <w:numPr>
          <w:ilvl w:val="0"/>
          <w:numId w:val="8"/>
        </w:numPr>
        <w:spacing w:after="120" w:line="276" w:lineRule="auto"/>
        <w:jc w:val="both"/>
        <w:rPr>
          <w:rFonts w:ascii="Arial" w:hAnsi="Arial" w:cs="Arial"/>
          <w:kern w:val="0"/>
          <w:sz w:val="22"/>
          <w:szCs w:val="22"/>
          <w14:ligatures w14:val="none"/>
        </w:rPr>
      </w:pPr>
      <w:r w:rsidRPr="00C717E2">
        <w:rPr>
          <w:rFonts w:ascii="Arial" w:hAnsi="Arial" w:cs="Arial"/>
          <w:iCs/>
          <w:kern w:val="0"/>
          <w:sz w:val="22"/>
          <w:szCs w:val="22"/>
          <w14:ligatures w14:val="none"/>
        </w:rPr>
        <w:t xml:space="preserve">Nebezpečné složky KO na sběrném místě, </w:t>
      </w:r>
      <w:r w:rsidRPr="00C717E2">
        <w:rPr>
          <w:rFonts w:ascii="Arial" w:hAnsi="Arial" w:cs="Arial"/>
          <w:kern w:val="0"/>
          <w:sz w:val="22"/>
          <w:szCs w:val="22"/>
          <w14:ligatures w14:val="none"/>
        </w:rPr>
        <w:t>kter</w:t>
      </w:r>
      <w:r w:rsidRPr="00C717E2">
        <w:rPr>
          <w:rFonts w:ascii="Arial" w:hAnsi="Arial" w:cs="Arial"/>
          <w:iCs/>
          <w:kern w:val="0"/>
          <w:sz w:val="22"/>
          <w:szCs w:val="22"/>
          <w14:ligatures w14:val="none"/>
        </w:rPr>
        <w:t>é</w:t>
      </w:r>
      <w:r w:rsidRPr="00C717E2">
        <w:rPr>
          <w:rFonts w:ascii="Arial" w:hAnsi="Arial" w:cs="Arial"/>
          <w:kern w:val="0"/>
          <w:sz w:val="22"/>
          <w:szCs w:val="22"/>
          <w14:ligatures w14:val="none"/>
        </w:rPr>
        <w:t xml:space="preserve"> je umístěno na pozemku ve dvoře stavby č. p. 90.</w:t>
      </w:r>
    </w:p>
    <w:p w14:paraId="15825DB1" w14:textId="77777777" w:rsidR="00C717E2" w:rsidRPr="00C717E2" w:rsidRDefault="00C717E2" w:rsidP="00C717E2">
      <w:pPr>
        <w:numPr>
          <w:ilvl w:val="0"/>
          <w:numId w:val="8"/>
        </w:numPr>
        <w:spacing w:after="120" w:line="276" w:lineRule="auto"/>
        <w:jc w:val="both"/>
        <w:rPr>
          <w:rFonts w:ascii="Arial" w:hAnsi="Arial" w:cs="Arial"/>
          <w:kern w:val="0"/>
          <w:sz w:val="22"/>
          <w:szCs w:val="22"/>
          <w14:ligatures w14:val="none"/>
        </w:rPr>
      </w:pPr>
      <w:r w:rsidRPr="00C717E2">
        <w:rPr>
          <w:rFonts w:ascii="Arial" w:hAnsi="Arial" w:cs="Arial"/>
          <w:kern w:val="0"/>
          <w:sz w:val="22"/>
          <w:szCs w:val="22"/>
          <w14:ligatures w14:val="none"/>
        </w:rPr>
        <w:t>Soustřeďování nebezpečných složek komunálního odpadu podléhá požadavkům stanoveným v čl. 3 odst. 4 a 5.</w:t>
      </w:r>
    </w:p>
    <w:p w14:paraId="4550FF41" w14:textId="77777777" w:rsidR="00C717E2" w:rsidRPr="00C717E2" w:rsidRDefault="00C717E2" w:rsidP="00C717E2">
      <w:pPr>
        <w:spacing w:after="120" w:line="276" w:lineRule="auto"/>
        <w:jc w:val="center"/>
        <w:rPr>
          <w:rFonts w:ascii="Arial" w:hAnsi="Arial" w:cs="Arial"/>
          <w:b/>
          <w:kern w:val="0"/>
          <w:sz w:val="22"/>
          <w:szCs w:val="22"/>
          <w14:ligatures w14:val="none"/>
        </w:rPr>
      </w:pPr>
      <w:r w:rsidRPr="00C717E2">
        <w:rPr>
          <w:rFonts w:ascii="Arial" w:hAnsi="Arial" w:cs="Arial"/>
          <w:b/>
          <w:kern w:val="0"/>
          <w:sz w:val="22"/>
          <w:szCs w:val="22"/>
          <w14:ligatures w14:val="none"/>
        </w:rPr>
        <w:t>Čl. 5</w:t>
      </w:r>
    </w:p>
    <w:p w14:paraId="4F5D440B" w14:textId="77777777" w:rsidR="00C717E2" w:rsidRPr="00C717E2" w:rsidRDefault="00C717E2" w:rsidP="00C717E2">
      <w:pPr>
        <w:spacing w:after="120" w:line="276" w:lineRule="auto"/>
        <w:jc w:val="center"/>
        <w:rPr>
          <w:rFonts w:ascii="Arial" w:hAnsi="Arial" w:cs="Arial"/>
          <w:kern w:val="0"/>
          <w:sz w:val="22"/>
          <w:szCs w:val="22"/>
          <w14:ligatures w14:val="none"/>
        </w:rPr>
      </w:pPr>
      <w:r w:rsidRPr="00C717E2">
        <w:rPr>
          <w:rFonts w:ascii="Arial" w:hAnsi="Arial" w:cs="Arial"/>
          <w:b/>
          <w:kern w:val="0"/>
          <w:sz w:val="22"/>
          <w:szCs w:val="22"/>
          <w14:ligatures w14:val="none"/>
        </w:rPr>
        <w:t>Svoz objemného odpadu</w:t>
      </w:r>
    </w:p>
    <w:p w14:paraId="48083542" w14:textId="77777777" w:rsidR="00C717E2" w:rsidRPr="00C717E2" w:rsidRDefault="00C717E2" w:rsidP="00C717E2">
      <w:pPr>
        <w:numPr>
          <w:ilvl w:val="0"/>
          <w:numId w:val="5"/>
        </w:numPr>
        <w:spacing w:after="120" w:line="276" w:lineRule="auto"/>
        <w:jc w:val="both"/>
        <w:rPr>
          <w:rFonts w:ascii="Arial" w:hAnsi="Arial" w:cs="Arial"/>
          <w:iCs/>
          <w:kern w:val="0"/>
          <w:sz w:val="22"/>
          <w:szCs w:val="22"/>
          <w14:ligatures w14:val="none"/>
        </w:rPr>
      </w:pPr>
      <w:r w:rsidRPr="00C717E2">
        <w:rPr>
          <w:rFonts w:ascii="Arial" w:hAnsi="Arial" w:cs="Arial"/>
          <w:kern w:val="0"/>
          <w:sz w:val="22"/>
          <w:szCs w:val="22"/>
          <w14:ligatures w14:val="none"/>
        </w:rPr>
        <w:t xml:space="preserve">Svoz objemného odpadu je zajišťován </w:t>
      </w:r>
      <w:r w:rsidRPr="00C717E2">
        <w:rPr>
          <w:rFonts w:ascii="Arial" w:hAnsi="Arial" w:cs="Arial"/>
          <w:iCs/>
          <w:kern w:val="0"/>
          <w:sz w:val="22"/>
          <w:szCs w:val="22"/>
          <w14:ligatures w14:val="none"/>
        </w:rPr>
        <w:t>dvakrát ročně</w:t>
      </w:r>
      <w:r w:rsidRPr="00C717E2">
        <w:rPr>
          <w:rFonts w:ascii="Arial" w:hAnsi="Arial" w:cs="Arial"/>
          <w:kern w:val="0"/>
          <w:sz w:val="22"/>
          <w:szCs w:val="22"/>
          <w14:ligatures w14:val="none"/>
        </w:rPr>
        <w:t xml:space="preserve"> jeho odebíráním na předem vyhlášených přechodných stanovištích přímo do zvláštních sběrných nádob k tomuto účelu určených. Informace o svozu jsou zveřejňovány </w:t>
      </w:r>
      <w:r w:rsidRPr="00C717E2">
        <w:rPr>
          <w:rFonts w:ascii="Arial" w:hAnsi="Arial" w:cs="Arial"/>
          <w:iCs/>
          <w:kern w:val="0"/>
          <w:sz w:val="22"/>
          <w:szCs w:val="22"/>
          <w14:ligatures w14:val="none"/>
        </w:rPr>
        <w:t>na úřední desce obecního úřadu, v místním rozhlase, na internetu obce.</w:t>
      </w:r>
    </w:p>
    <w:p w14:paraId="7DF007F4" w14:textId="77777777" w:rsidR="00C717E2" w:rsidRPr="00C717E2" w:rsidRDefault="00C717E2" w:rsidP="00C717E2">
      <w:pPr>
        <w:numPr>
          <w:ilvl w:val="0"/>
          <w:numId w:val="5"/>
        </w:numPr>
        <w:tabs>
          <w:tab w:val="left" w:pos="567"/>
        </w:tabs>
        <w:spacing w:after="120" w:line="276" w:lineRule="auto"/>
        <w:ind w:left="0" w:firstLine="0"/>
        <w:jc w:val="both"/>
        <w:rPr>
          <w:rFonts w:ascii="Arial" w:hAnsi="Arial" w:cs="Arial"/>
          <w:kern w:val="0"/>
          <w:sz w:val="22"/>
          <w:szCs w:val="22"/>
          <w14:ligatures w14:val="none"/>
        </w:rPr>
      </w:pPr>
      <w:r w:rsidRPr="00C717E2">
        <w:rPr>
          <w:rFonts w:ascii="Arial" w:hAnsi="Arial" w:cs="Arial"/>
          <w:kern w:val="0"/>
          <w:sz w:val="22"/>
          <w:szCs w:val="22"/>
          <w14:ligatures w14:val="none"/>
        </w:rPr>
        <w:t xml:space="preserve">Soustřeďování objemného odpadu podléhá požadavkům stanoveným v čl. 3 odst. 4 a 5. </w:t>
      </w:r>
    </w:p>
    <w:p w14:paraId="7C6E19D1" w14:textId="77777777" w:rsidR="00C717E2" w:rsidRPr="00C717E2" w:rsidRDefault="00C717E2" w:rsidP="00C717E2">
      <w:pPr>
        <w:spacing w:after="120" w:line="276" w:lineRule="auto"/>
        <w:rPr>
          <w:rFonts w:ascii="Arial" w:hAnsi="Arial" w:cs="Arial"/>
          <w:b/>
          <w:kern w:val="0"/>
          <w:sz w:val="22"/>
          <w:szCs w:val="22"/>
          <w14:ligatures w14:val="none"/>
        </w:rPr>
      </w:pPr>
    </w:p>
    <w:p w14:paraId="26E162A2" w14:textId="77777777" w:rsidR="00C717E2" w:rsidRPr="00C717E2" w:rsidRDefault="00C717E2" w:rsidP="00C717E2">
      <w:pPr>
        <w:spacing w:after="120" w:line="276" w:lineRule="auto"/>
        <w:jc w:val="center"/>
        <w:rPr>
          <w:rFonts w:ascii="Arial" w:hAnsi="Arial" w:cs="Arial"/>
          <w:i/>
          <w:iCs/>
          <w:color w:val="0070C0"/>
          <w:kern w:val="0"/>
          <w:sz w:val="22"/>
          <w:szCs w:val="22"/>
          <w14:ligatures w14:val="none"/>
        </w:rPr>
      </w:pPr>
      <w:r w:rsidRPr="00C717E2">
        <w:rPr>
          <w:rFonts w:ascii="Arial" w:hAnsi="Arial" w:cs="Arial"/>
          <w:b/>
          <w:kern w:val="0"/>
          <w:sz w:val="22"/>
          <w:szCs w:val="22"/>
          <w14:ligatures w14:val="none"/>
        </w:rPr>
        <w:t>Čl. 6</w:t>
      </w:r>
      <w:r w:rsidRPr="00C717E2">
        <w:rPr>
          <w:rFonts w:ascii="Arial" w:hAnsi="Arial" w:cs="Arial"/>
          <w:i/>
          <w:iCs/>
          <w:color w:val="0070C0"/>
          <w:kern w:val="0"/>
          <w:sz w:val="22"/>
          <w:szCs w:val="22"/>
          <w14:ligatures w14:val="none"/>
        </w:rPr>
        <w:t xml:space="preserve"> </w:t>
      </w:r>
    </w:p>
    <w:p w14:paraId="2F91B67F" w14:textId="77777777" w:rsidR="00C717E2" w:rsidRPr="00C717E2" w:rsidRDefault="00C717E2" w:rsidP="00C717E2">
      <w:pPr>
        <w:spacing w:after="120" w:line="276" w:lineRule="auto"/>
        <w:jc w:val="center"/>
        <w:rPr>
          <w:rFonts w:ascii="Arial" w:hAnsi="Arial" w:cs="Arial"/>
          <w:b/>
          <w:kern w:val="0"/>
          <w:sz w:val="22"/>
          <w:szCs w:val="22"/>
          <w14:ligatures w14:val="none"/>
        </w:rPr>
      </w:pPr>
      <w:r w:rsidRPr="00C717E2">
        <w:rPr>
          <w:rFonts w:ascii="Arial" w:hAnsi="Arial" w:cs="Arial"/>
          <w:b/>
          <w:kern w:val="0"/>
          <w:sz w:val="22"/>
          <w:szCs w:val="22"/>
          <w14:ligatures w14:val="none"/>
        </w:rPr>
        <w:t>Závěrečná ustanovení</w:t>
      </w:r>
    </w:p>
    <w:p w14:paraId="0412F138" w14:textId="77777777" w:rsidR="00C717E2" w:rsidRPr="00C717E2" w:rsidRDefault="00C717E2" w:rsidP="00C717E2">
      <w:pPr>
        <w:numPr>
          <w:ilvl w:val="0"/>
          <w:numId w:val="6"/>
        </w:numPr>
        <w:spacing w:after="120" w:line="276" w:lineRule="auto"/>
        <w:jc w:val="both"/>
        <w:rPr>
          <w:rFonts w:ascii="Arial" w:hAnsi="Arial" w:cs="Arial"/>
          <w:kern w:val="0"/>
          <w:sz w:val="22"/>
          <w:szCs w:val="22"/>
          <w14:ligatures w14:val="none"/>
        </w:rPr>
      </w:pPr>
      <w:r w:rsidRPr="00C717E2">
        <w:rPr>
          <w:rFonts w:ascii="Arial" w:hAnsi="Arial" w:cs="Arial"/>
          <w:kern w:val="0"/>
          <w:sz w:val="22"/>
          <w:szCs w:val="22"/>
          <w14:ligatures w14:val="none"/>
        </w:rPr>
        <w:t>Tato vyhláška nabývá účinnosti dnem 01. 01. 2026</w:t>
      </w:r>
    </w:p>
    <w:p w14:paraId="65BCA4F8" w14:textId="77777777" w:rsidR="00C717E2" w:rsidRPr="00C717E2" w:rsidRDefault="00C717E2" w:rsidP="00C717E2">
      <w:pPr>
        <w:tabs>
          <w:tab w:val="num" w:pos="540"/>
        </w:tabs>
        <w:spacing w:after="120" w:line="276" w:lineRule="auto"/>
        <w:ind w:left="540"/>
        <w:jc w:val="both"/>
        <w:rPr>
          <w:rFonts w:ascii="Arial" w:hAnsi="Arial" w:cs="Arial"/>
          <w:kern w:val="0"/>
          <w:sz w:val="22"/>
          <w:szCs w:val="22"/>
          <w14:ligatures w14:val="none"/>
        </w:rPr>
      </w:pPr>
    </w:p>
    <w:tbl>
      <w:tblPr>
        <w:tblW w:w="0" w:type="dxa"/>
        <w:tblLayout w:type="fixed"/>
        <w:tblCellMar>
          <w:left w:w="10" w:type="dxa"/>
          <w:right w:w="10" w:type="dxa"/>
        </w:tblCellMar>
        <w:tblLook w:val="04A0" w:firstRow="1" w:lastRow="0" w:firstColumn="1" w:lastColumn="0" w:noHBand="0" w:noVBand="1"/>
      </w:tblPr>
      <w:tblGrid>
        <w:gridCol w:w="4820"/>
        <w:gridCol w:w="4820"/>
      </w:tblGrid>
      <w:tr w:rsidR="00C717E2" w:rsidRPr="00C717E2" w14:paraId="6B4F241B" w14:textId="77777777" w:rsidTr="00373759">
        <w:trPr>
          <w:trHeight w:hRule="exact" w:val="1134"/>
        </w:trPr>
        <w:tc>
          <w:tcPr>
            <w:tcW w:w="4820" w:type="dxa"/>
            <w:tcMar>
              <w:top w:w="55" w:type="dxa"/>
              <w:left w:w="55" w:type="dxa"/>
              <w:bottom w:w="55" w:type="dxa"/>
              <w:right w:w="55" w:type="dxa"/>
            </w:tcMar>
            <w:vAlign w:val="bottom"/>
            <w:hideMark/>
          </w:tcPr>
          <w:p w14:paraId="11119DB5" w14:textId="4A8E36FC" w:rsidR="00C717E2" w:rsidRPr="00C717E2" w:rsidRDefault="00C717E2" w:rsidP="00CD06A2">
            <w:pPr>
              <w:widowControl w:val="0"/>
              <w:suppressLineNumbers/>
              <w:suppressAutoHyphens/>
              <w:autoSpaceDN w:val="0"/>
              <w:spacing w:after="0" w:line="276" w:lineRule="auto"/>
              <w:rPr>
                <w:rFonts w:ascii="Arial" w:eastAsia="Arial" w:hAnsi="Arial" w:cs="Arial"/>
                <w:kern w:val="3"/>
                <w:sz w:val="22"/>
                <w:szCs w:val="22"/>
                <w:lang w:eastAsia="zh-CN" w:bidi="hi-IN"/>
                <w14:ligatures w14:val="none"/>
              </w:rPr>
            </w:pPr>
            <w:r w:rsidRPr="00C717E2">
              <w:rPr>
                <w:rFonts w:ascii="Arial" w:eastAsia="Arial" w:hAnsi="Arial" w:cs="Arial"/>
                <w:kern w:val="3"/>
                <w:sz w:val="22"/>
                <w:szCs w:val="22"/>
                <w:lang w:eastAsia="zh-CN" w:bidi="hi-IN"/>
                <w14:ligatures w14:val="none"/>
              </w:rPr>
              <w:t>Petr Hradecký</w:t>
            </w:r>
            <w:r w:rsidR="00CD06A2">
              <w:rPr>
                <w:rFonts w:ascii="Arial" w:eastAsia="Arial" w:hAnsi="Arial" w:cs="Arial"/>
                <w:kern w:val="3"/>
                <w:sz w:val="22"/>
                <w:szCs w:val="22"/>
                <w:lang w:eastAsia="zh-CN" w:bidi="hi-IN"/>
                <w14:ligatures w14:val="none"/>
              </w:rPr>
              <w:t xml:space="preserve"> </w:t>
            </w:r>
            <w:r w:rsidR="00182F67">
              <w:rPr>
                <w:rFonts w:ascii="Arial" w:eastAsia="Arial" w:hAnsi="Arial" w:cs="Arial"/>
                <w:kern w:val="3"/>
                <w:sz w:val="22"/>
                <w:szCs w:val="22"/>
                <w:lang w:eastAsia="zh-CN" w:bidi="hi-IN"/>
                <w14:ligatures w14:val="none"/>
              </w:rPr>
              <w:t>v. r.</w:t>
            </w:r>
            <w:r w:rsidRPr="00C717E2">
              <w:rPr>
                <w:rFonts w:ascii="Arial" w:eastAsia="Arial" w:hAnsi="Arial" w:cs="Arial"/>
                <w:kern w:val="3"/>
                <w:sz w:val="22"/>
                <w:szCs w:val="22"/>
                <w:lang w:eastAsia="zh-CN" w:bidi="hi-IN"/>
                <w14:ligatures w14:val="none"/>
              </w:rPr>
              <w:br/>
              <w:t xml:space="preserve">    </w:t>
            </w:r>
            <w:r w:rsidR="00CD06A2">
              <w:rPr>
                <w:rFonts w:ascii="Arial" w:eastAsia="Arial" w:hAnsi="Arial" w:cs="Arial"/>
                <w:kern w:val="3"/>
                <w:sz w:val="22"/>
                <w:szCs w:val="22"/>
                <w:lang w:eastAsia="zh-CN" w:bidi="hi-IN"/>
                <w14:ligatures w14:val="none"/>
              </w:rPr>
              <w:t>s</w:t>
            </w:r>
            <w:r w:rsidRPr="00C717E2">
              <w:rPr>
                <w:rFonts w:ascii="Arial" w:eastAsia="Arial" w:hAnsi="Arial" w:cs="Arial"/>
                <w:kern w:val="3"/>
                <w:sz w:val="22"/>
                <w:szCs w:val="22"/>
                <w:lang w:eastAsia="zh-CN" w:bidi="hi-IN"/>
                <w14:ligatures w14:val="none"/>
              </w:rPr>
              <w:t>tarosta</w:t>
            </w:r>
          </w:p>
        </w:tc>
        <w:tc>
          <w:tcPr>
            <w:tcW w:w="4820" w:type="dxa"/>
            <w:tcMar>
              <w:top w:w="55" w:type="dxa"/>
              <w:left w:w="55" w:type="dxa"/>
              <w:bottom w:w="55" w:type="dxa"/>
              <w:right w:w="55" w:type="dxa"/>
            </w:tcMar>
            <w:vAlign w:val="bottom"/>
            <w:hideMark/>
          </w:tcPr>
          <w:p w14:paraId="6BDBD389" w14:textId="121A8AFD" w:rsidR="00C717E2" w:rsidRPr="00C717E2" w:rsidRDefault="00C717E2" w:rsidP="00CD06A2">
            <w:pPr>
              <w:widowControl w:val="0"/>
              <w:suppressLineNumbers/>
              <w:suppressAutoHyphens/>
              <w:autoSpaceDN w:val="0"/>
              <w:spacing w:after="0" w:line="276" w:lineRule="auto"/>
              <w:jc w:val="center"/>
              <w:rPr>
                <w:rFonts w:ascii="Arial" w:eastAsia="Arial" w:hAnsi="Arial" w:cs="Arial"/>
                <w:kern w:val="3"/>
                <w:sz w:val="22"/>
                <w:szCs w:val="22"/>
                <w:lang w:eastAsia="zh-CN" w:bidi="hi-IN"/>
                <w14:ligatures w14:val="none"/>
              </w:rPr>
            </w:pPr>
            <w:r w:rsidRPr="00C717E2">
              <w:rPr>
                <w:rFonts w:ascii="Arial" w:eastAsia="Arial" w:hAnsi="Arial" w:cs="Arial"/>
                <w:kern w:val="3"/>
                <w:sz w:val="22"/>
                <w:szCs w:val="22"/>
                <w:lang w:eastAsia="zh-CN" w:bidi="hi-IN"/>
                <w14:ligatures w14:val="none"/>
              </w:rPr>
              <w:t xml:space="preserve">Pavlína Kolářová </w:t>
            </w:r>
            <w:r w:rsidR="00182F67">
              <w:rPr>
                <w:rFonts w:ascii="Arial" w:eastAsia="Arial" w:hAnsi="Arial" w:cs="Arial"/>
                <w:kern w:val="3"/>
                <w:sz w:val="22"/>
                <w:szCs w:val="22"/>
                <w:lang w:eastAsia="zh-CN" w:bidi="hi-IN"/>
                <w14:ligatures w14:val="none"/>
              </w:rPr>
              <w:t>v. r.</w:t>
            </w:r>
            <w:r w:rsidRPr="00C717E2">
              <w:rPr>
                <w:rFonts w:ascii="Arial" w:eastAsia="Arial" w:hAnsi="Arial" w:cs="Arial"/>
                <w:kern w:val="3"/>
                <w:sz w:val="22"/>
                <w:szCs w:val="22"/>
                <w:lang w:eastAsia="zh-CN" w:bidi="hi-IN"/>
                <w14:ligatures w14:val="none"/>
              </w:rPr>
              <w:br/>
              <w:t xml:space="preserve"> místostarostka</w:t>
            </w:r>
          </w:p>
        </w:tc>
      </w:tr>
    </w:tbl>
    <w:p w14:paraId="56290B08" w14:textId="77777777" w:rsidR="00C717E2" w:rsidRPr="00C717E2" w:rsidRDefault="00C717E2" w:rsidP="00C717E2">
      <w:pPr>
        <w:spacing w:after="120" w:line="276" w:lineRule="auto"/>
        <w:rPr>
          <w:rFonts w:ascii="Arial" w:hAnsi="Arial" w:cs="Arial"/>
          <w:kern w:val="0"/>
          <w:sz w:val="22"/>
          <w:szCs w:val="22"/>
          <w14:ligatures w14:val="none"/>
        </w:rPr>
      </w:pPr>
    </w:p>
    <w:p w14:paraId="2CFCF4B7" w14:textId="77777777" w:rsidR="00C717E2" w:rsidRPr="00C717E2" w:rsidRDefault="00C717E2" w:rsidP="00C717E2">
      <w:pPr>
        <w:spacing w:after="120" w:line="276" w:lineRule="auto"/>
        <w:rPr>
          <w:rFonts w:ascii="Arial" w:hAnsi="Arial" w:cs="Arial"/>
          <w:kern w:val="0"/>
          <w:sz w:val="22"/>
          <w:szCs w:val="22"/>
          <w14:ligatures w14:val="none"/>
        </w:rPr>
      </w:pPr>
    </w:p>
    <w:p w14:paraId="7F44E4EC" w14:textId="77777777" w:rsidR="00C717E2" w:rsidRPr="00C717E2" w:rsidRDefault="00C717E2" w:rsidP="00C717E2">
      <w:pPr>
        <w:spacing w:after="120" w:line="276" w:lineRule="auto"/>
        <w:rPr>
          <w:rFonts w:ascii="Arial" w:hAnsi="Arial" w:cs="Arial"/>
          <w:kern w:val="0"/>
          <w:sz w:val="22"/>
          <w:szCs w:val="22"/>
          <w14:ligatures w14:val="none"/>
        </w:rPr>
      </w:pPr>
    </w:p>
    <w:p w14:paraId="110F26C7" w14:textId="77777777" w:rsidR="00C717E2" w:rsidRPr="00C717E2" w:rsidRDefault="00C717E2" w:rsidP="00C717E2">
      <w:pPr>
        <w:spacing w:after="120" w:line="276" w:lineRule="auto"/>
        <w:rPr>
          <w:rFonts w:ascii="Arial" w:hAnsi="Arial" w:cs="Arial"/>
          <w:kern w:val="0"/>
          <w:sz w:val="22"/>
          <w:szCs w:val="22"/>
          <w14:ligatures w14:val="none"/>
        </w:rPr>
      </w:pPr>
    </w:p>
    <w:p w14:paraId="0D4F4948" w14:textId="4AD5D071" w:rsidR="00C717E2" w:rsidRPr="00C717E2" w:rsidRDefault="00C717E2" w:rsidP="00C717E2">
      <w:pPr>
        <w:spacing w:after="120" w:line="276" w:lineRule="auto"/>
        <w:rPr>
          <w:rFonts w:ascii="Arial" w:hAnsi="Arial" w:cs="Arial"/>
          <w:kern w:val="0"/>
          <w:sz w:val="22"/>
          <w:szCs w:val="22"/>
          <w14:ligatures w14:val="none"/>
        </w:rPr>
      </w:pPr>
      <w:r w:rsidRPr="00C717E2">
        <w:rPr>
          <w:rFonts w:ascii="Arial" w:hAnsi="Arial" w:cs="Arial"/>
          <w:kern w:val="0"/>
          <w:sz w:val="22"/>
          <w:szCs w:val="22"/>
          <w14:ligatures w14:val="none"/>
        </w:rPr>
        <w:t xml:space="preserve">Vyvěšeno na úřední desce obecního úřadu dne: </w:t>
      </w:r>
      <w:r>
        <w:rPr>
          <w:rFonts w:ascii="Arial" w:hAnsi="Arial" w:cs="Arial"/>
          <w:kern w:val="0"/>
          <w:sz w:val="22"/>
          <w:szCs w:val="22"/>
          <w14:ligatures w14:val="none"/>
        </w:rPr>
        <w:t>11</w:t>
      </w:r>
      <w:r w:rsidRPr="00C717E2">
        <w:rPr>
          <w:rFonts w:ascii="Arial" w:hAnsi="Arial" w:cs="Arial"/>
          <w:kern w:val="0"/>
          <w:sz w:val="22"/>
          <w:szCs w:val="22"/>
          <w14:ligatures w14:val="none"/>
        </w:rPr>
        <w:t>. 12. 2025</w:t>
      </w:r>
    </w:p>
    <w:p w14:paraId="42DB5A9F" w14:textId="42898072" w:rsidR="00BC15C0" w:rsidRPr="00F2611C" w:rsidRDefault="00C717E2" w:rsidP="00C717E2">
      <w:pPr>
        <w:spacing w:after="120" w:line="276" w:lineRule="auto"/>
        <w:rPr>
          <w:rFonts w:ascii="Arial" w:hAnsi="Arial" w:cs="Arial"/>
        </w:rPr>
      </w:pPr>
      <w:r w:rsidRPr="00C717E2">
        <w:rPr>
          <w:rFonts w:ascii="Arial" w:hAnsi="Arial" w:cs="Arial"/>
          <w:kern w:val="0"/>
          <w:sz w:val="22"/>
          <w:szCs w:val="22"/>
          <w14:ligatures w14:val="none"/>
        </w:rPr>
        <w:t>Sejmuto z úřední desky obecního úřadu dne: 07. 01. 2026</w:t>
      </w:r>
    </w:p>
    <w:sectPr w:rsidR="00BC15C0" w:rsidRPr="00F261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1F3DE" w14:textId="77777777" w:rsidR="00927B8E" w:rsidRDefault="00927B8E" w:rsidP="00C717E2">
      <w:pPr>
        <w:spacing w:after="0" w:line="240" w:lineRule="auto"/>
      </w:pPr>
      <w:r>
        <w:separator/>
      </w:r>
    </w:p>
  </w:endnote>
  <w:endnote w:type="continuationSeparator" w:id="0">
    <w:p w14:paraId="16F7BE9A" w14:textId="77777777" w:rsidR="00927B8E" w:rsidRDefault="00927B8E" w:rsidP="00C71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BE46E" w14:textId="77777777" w:rsidR="00927B8E" w:rsidRDefault="00927B8E" w:rsidP="00C717E2">
      <w:pPr>
        <w:spacing w:after="0" w:line="240" w:lineRule="auto"/>
      </w:pPr>
      <w:r>
        <w:separator/>
      </w:r>
    </w:p>
  </w:footnote>
  <w:footnote w:type="continuationSeparator" w:id="0">
    <w:p w14:paraId="3DAC46CC" w14:textId="77777777" w:rsidR="00927B8E" w:rsidRDefault="00927B8E" w:rsidP="00C717E2">
      <w:pPr>
        <w:spacing w:after="0" w:line="240" w:lineRule="auto"/>
      </w:pPr>
      <w:r>
        <w:continuationSeparator/>
      </w:r>
    </w:p>
  </w:footnote>
  <w:footnote w:id="1">
    <w:p w14:paraId="646EDADB" w14:textId="77777777" w:rsidR="00C717E2" w:rsidRPr="00DF28D8" w:rsidRDefault="00C717E2" w:rsidP="00C717E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0BCEEA10" w14:textId="77777777" w:rsidR="00C717E2" w:rsidRDefault="00C717E2" w:rsidP="00C717E2">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8385E43"/>
    <w:multiLevelType w:val="hybridMultilevel"/>
    <w:tmpl w:val="2AAEE2F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E52C7E0C">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941851"/>
    <w:multiLevelType w:val="hybridMultilevel"/>
    <w:tmpl w:val="4A9CB4DE"/>
    <w:lvl w:ilvl="0" w:tplc="108E52EA">
      <w:numFmt w:val="bullet"/>
      <w:lvlText w:val="•"/>
      <w:lvlJc w:val="left"/>
      <w:pPr>
        <w:ind w:left="1070" w:hanging="710"/>
      </w:pPr>
      <w:rPr>
        <w:rFonts w:ascii="Arial" w:eastAsiaTheme="minorHAnsi" w:hAnsi="Arial" w:cs="Arial" w:hint="default"/>
      </w:rPr>
    </w:lvl>
    <w:lvl w:ilvl="1" w:tplc="52DE6308">
      <w:numFmt w:val="bullet"/>
      <w:lvlText w:val=""/>
      <w:lvlJc w:val="left"/>
      <w:pPr>
        <w:ind w:left="1790" w:hanging="710"/>
      </w:pPr>
      <w:rPr>
        <w:rFonts w:ascii="Symbol" w:eastAsiaTheme="minorHAnsi" w:hAnsi="Symbo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9A04DD9"/>
    <w:multiLevelType w:val="hybridMultilevel"/>
    <w:tmpl w:val="A622082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8CC585A"/>
    <w:multiLevelType w:val="hybridMultilevel"/>
    <w:tmpl w:val="F3D0174A"/>
    <w:lvl w:ilvl="0" w:tplc="7C2C1990">
      <w:start w:val="7"/>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67AE5CFD"/>
    <w:multiLevelType w:val="hybridMultilevel"/>
    <w:tmpl w:val="EFF049F2"/>
    <w:lvl w:ilvl="0" w:tplc="C584E572">
      <w:start w:val="10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22274036">
    <w:abstractNumId w:val="8"/>
  </w:num>
  <w:num w:numId="2" w16cid:durableId="1156610675">
    <w:abstractNumId w:val="7"/>
  </w:num>
  <w:num w:numId="3" w16cid:durableId="655718941">
    <w:abstractNumId w:val="4"/>
  </w:num>
  <w:num w:numId="4" w16cid:durableId="172382438">
    <w:abstractNumId w:val="10"/>
  </w:num>
  <w:num w:numId="5" w16cid:durableId="439106273">
    <w:abstractNumId w:val="5"/>
  </w:num>
  <w:num w:numId="6" w16cid:durableId="1208838652">
    <w:abstractNumId w:val="1"/>
  </w:num>
  <w:num w:numId="7" w16cid:durableId="1224832989">
    <w:abstractNumId w:val="9"/>
  </w:num>
  <w:num w:numId="8" w16cid:durableId="1977374107">
    <w:abstractNumId w:val="6"/>
  </w:num>
  <w:num w:numId="9" w16cid:durableId="1553737674">
    <w:abstractNumId w:val="2"/>
  </w:num>
  <w:num w:numId="10" w16cid:durableId="2102950579">
    <w:abstractNumId w:val="0"/>
  </w:num>
  <w:num w:numId="11" w16cid:durableId="912475051">
    <w:abstractNumId w:val="3"/>
  </w:num>
  <w:num w:numId="12" w16cid:durableId="1053311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11C"/>
    <w:rsid w:val="00142E4D"/>
    <w:rsid w:val="00182F67"/>
    <w:rsid w:val="0047796A"/>
    <w:rsid w:val="006F2FE2"/>
    <w:rsid w:val="00927B8E"/>
    <w:rsid w:val="00A76A31"/>
    <w:rsid w:val="00AD4406"/>
    <w:rsid w:val="00BC15C0"/>
    <w:rsid w:val="00C717E2"/>
    <w:rsid w:val="00C817AE"/>
    <w:rsid w:val="00CD06A2"/>
    <w:rsid w:val="00D71CF6"/>
    <w:rsid w:val="00F26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011AD"/>
  <w15:chartTrackingRefBased/>
  <w15:docId w15:val="{49D7BB4A-A8FA-42E7-88DA-B0E5C9C5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261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261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2611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2611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2611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2611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2611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2611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2611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2611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2611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2611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2611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2611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2611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2611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2611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2611C"/>
    <w:rPr>
      <w:rFonts w:eastAsiaTheme="majorEastAsia" w:cstheme="majorBidi"/>
      <w:color w:val="272727" w:themeColor="text1" w:themeTint="D8"/>
    </w:rPr>
  </w:style>
  <w:style w:type="paragraph" w:styleId="Nzev">
    <w:name w:val="Title"/>
    <w:basedOn w:val="Normln"/>
    <w:next w:val="Normln"/>
    <w:link w:val="NzevChar"/>
    <w:uiPriority w:val="10"/>
    <w:qFormat/>
    <w:rsid w:val="00F26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2611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2611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2611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2611C"/>
    <w:pPr>
      <w:spacing w:before="160"/>
      <w:jc w:val="center"/>
    </w:pPr>
    <w:rPr>
      <w:i/>
      <w:iCs/>
      <w:color w:val="404040" w:themeColor="text1" w:themeTint="BF"/>
    </w:rPr>
  </w:style>
  <w:style w:type="character" w:customStyle="1" w:styleId="CittChar">
    <w:name w:val="Citát Char"/>
    <w:basedOn w:val="Standardnpsmoodstavce"/>
    <w:link w:val="Citt"/>
    <w:uiPriority w:val="29"/>
    <w:rsid w:val="00F2611C"/>
    <w:rPr>
      <w:i/>
      <w:iCs/>
      <w:color w:val="404040" w:themeColor="text1" w:themeTint="BF"/>
    </w:rPr>
  </w:style>
  <w:style w:type="paragraph" w:styleId="Odstavecseseznamem">
    <w:name w:val="List Paragraph"/>
    <w:basedOn w:val="Normln"/>
    <w:uiPriority w:val="34"/>
    <w:qFormat/>
    <w:rsid w:val="00F2611C"/>
    <w:pPr>
      <w:ind w:left="720"/>
      <w:contextualSpacing/>
    </w:pPr>
  </w:style>
  <w:style w:type="character" w:styleId="Zdraznnintenzivn">
    <w:name w:val="Intense Emphasis"/>
    <w:basedOn w:val="Standardnpsmoodstavce"/>
    <w:uiPriority w:val="21"/>
    <w:qFormat/>
    <w:rsid w:val="00F2611C"/>
    <w:rPr>
      <w:i/>
      <w:iCs/>
      <w:color w:val="2F5496" w:themeColor="accent1" w:themeShade="BF"/>
    </w:rPr>
  </w:style>
  <w:style w:type="paragraph" w:styleId="Vrazncitt">
    <w:name w:val="Intense Quote"/>
    <w:basedOn w:val="Normln"/>
    <w:next w:val="Normln"/>
    <w:link w:val="VrazncittChar"/>
    <w:uiPriority w:val="30"/>
    <w:qFormat/>
    <w:rsid w:val="00F26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2611C"/>
    <w:rPr>
      <w:i/>
      <w:iCs/>
      <w:color w:val="2F5496" w:themeColor="accent1" w:themeShade="BF"/>
    </w:rPr>
  </w:style>
  <w:style w:type="character" w:styleId="Odkazintenzivn">
    <w:name w:val="Intense Reference"/>
    <w:basedOn w:val="Standardnpsmoodstavce"/>
    <w:uiPriority w:val="32"/>
    <w:qFormat/>
    <w:rsid w:val="00F2611C"/>
    <w:rPr>
      <w:b/>
      <w:bCs/>
      <w:smallCaps/>
      <w:color w:val="2F5496" w:themeColor="accent1" w:themeShade="BF"/>
      <w:spacing w:val="5"/>
    </w:rPr>
  </w:style>
  <w:style w:type="paragraph" w:styleId="Normlnweb">
    <w:name w:val="Normal (Web)"/>
    <w:basedOn w:val="Normln"/>
    <w:uiPriority w:val="99"/>
    <w:semiHidden/>
    <w:unhideWhenUsed/>
    <w:rsid w:val="00C817AE"/>
    <w:pPr>
      <w:spacing w:before="100" w:beforeAutospacing="1" w:after="142" w:line="276" w:lineRule="auto"/>
    </w:pPr>
    <w:rPr>
      <w:rFonts w:ascii="Times New Roman" w:eastAsia="Times New Roman" w:hAnsi="Times New Roman" w:cs="Times New Roman"/>
      <w:kern w:val="0"/>
      <w:lang w:eastAsia="cs-CZ"/>
      <w14:ligatures w14:val="none"/>
    </w:rPr>
  </w:style>
  <w:style w:type="character" w:styleId="Hypertextovodkaz">
    <w:name w:val="Hyperlink"/>
    <w:basedOn w:val="Standardnpsmoodstavce"/>
    <w:uiPriority w:val="99"/>
    <w:unhideWhenUsed/>
    <w:rsid w:val="0047796A"/>
    <w:rPr>
      <w:color w:val="0000FF"/>
      <w:u w:val="single"/>
    </w:rPr>
  </w:style>
  <w:style w:type="paragraph" w:styleId="Textpoznpodarou">
    <w:name w:val="footnote text"/>
    <w:basedOn w:val="Normln"/>
    <w:link w:val="TextpoznpodarouChar"/>
    <w:uiPriority w:val="99"/>
    <w:semiHidden/>
    <w:unhideWhenUsed/>
    <w:rsid w:val="00C717E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717E2"/>
    <w:rPr>
      <w:sz w:val="20"/>
      <w:szCs w:val="20"/>
    </w:rPr>
  </w:style>
  <w:style w:type="character" w:styleId="Znakapoznpodarou">
    <w:name w:val="footnote reference"/>
    <w:semiHidden/>
    <w:rsid w:val="00C71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4414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 Hojovice</dc:creator>
  <cp:keywords/>
  <dc:description/>
  <cp:lastModifiedBy>Starosta Hojovice</cp:lastModifiedBy>
  <cp:revision>3</cp:revision>
  <cp:lastPrinted>2025-12-11T10:16:00Z</cp:lastPrinted>
  <dcterms:created xsi:type="dcterms:W3CDTF">2025-12-11T10:22:00Z</dcterms:created>
  <dcterms:modified xsi:type="dcterms:W3CDTF">2025-12-23T14:23:00Z</dcterms:modified>
</cp:coreProperties>
</file>