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3CA64A4C" w:rsidR="00DE706C" w:rsidRPr="007D2DF5" w:rsidRDefault="0084689F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689F">
              <w:rPr>
                <w:rFonts w:ascii="Times New Roman" w:eastAsia="Times New Roman" w:hAnsi="Times New Roman"/>
                <w:lang w:eastAsia="cs-CZ"/>
              </w:rPr>
              <w:t>SZ UKZUZ 191032/2023/52876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65ED23DA" w:rsidR="00DE706C" w:rsidRPr="001D0964" w:rsidRDefault="00307124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124">
              <w:rPr>
                <w:rFonts w:ascii="Times New Roman" w:eastAsia="Times New Roman" w:hAnsi="Times New Roman"/>
                <w:lang w:eastAsia="cs-CZ"/>
              </w:rPr>
              <w:t>UKZUZ 036318/2024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36C5561C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4680A30A" w:rsidR="00DE706C" w:rsidRPr="00307124" w:rsidRDefault="00307124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7124">
              <w:rPr>
                <w:rFonts w:ascii="Times New Roman" w:eastAsia="Times New Roman" w:hAnsi="Times New Roman"/>
                <w:lang w:eastAsia="cs-CZ"/>
              </w:rPr>
              <w:t>5.</w:t>
            </w:r>
            <w:r w:rsidR="001D0964" w:rsidRPr="00307124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Pr="00307124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D0964" w:rsidRPr="0030712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307124">
              <w:rPr>
                <w:rFonts w:ascii="Times New Roman" w:eastAsia="Times New Roman" w:hAnsi="Times New Roman"/>
                <w:lang w:eastAsia="cs-CZ"/>
              </w:rPr>
              <w:t>2</w:t>
            </w:r>
            <w:r w:rsidR="0084689F" w:rsidRPr="00307124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1F14E8" w:rsidRPr="001F14E8" w14:paraId="29B90827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490AEC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D3B6" w14:textId="77777777" w:rsidR="00F02523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31 BBCH, </w:t>
            </w:r>
          </w:p>
          <w:p w14:paraId="657A769E" w14:textId="7A0A1A4C" w:rsidR="00CF60BC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801"/>
        <w:gridCol w:w="1936"/>
        <w:gridCol w:w="2074"/>
        <w:gridCol w:w="209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F0252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50272934" w:rsidR="00C04B78" w:rsidRPr="007234D9" w:rsidRDefault="00037545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1800</w:t>
            </w:r>
            <w:r w:rsidR="00C04B78" w:rsidRPr="007234D9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187A53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187A53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468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187A53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52B136C" w14:textId="77777777" w:rsidR="0084689F" w:rsidRPr="006E2374" w:rsidRDefault="0084689F" w:rsidP="0084689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1559"/>
        <w:gridCol w:w="1559"/>
        <w:gridCol w:w="1560"/>
        <w:gridCol w:w="1417"/>
        <w:gridCol w:w="6"/>
      </w:tblGrid>
      <w:tr w:rsidR="0084689F" w:rsidRPr="006E2374" w14:paraId="11009656" w14:textId="77777777" w:rsidTr="0084689F">
        <w:trPr>
          <w:gridAfter w:val="1"/>
          <w:wAfter w:w="6" w:type="dxa"/>
          <w:trHeight w:val="340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14:paraId="3094E15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5A94940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4689F" w:rsidRPr="006E2374" w14:paraId="18AA6799" w14:textId="77777777" w:rsidTr="0084689F">
        <w:trPr>
          <w:gridAfter w:val="1"/>
          <w:wAfter w:w="6" w:type="dxa"/>
          <w:trHeight w:val="340"/>
        </w:trPr>
        <w:tc>
          <w:tcPr>
            <w:tcW w:w="2977" w:type="dxa"/>
            <w:vMerge/>
            <w:shd w:val="clear" w:color="auto" w:fill="FFFFFF"/>
            <w:vAlign w:val="center"/>
          </w:tcPr>
          <w:p w14:paraId="5E940C0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9E3784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00C4AE08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14550BC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DB089F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4689F" w:rsidRPr="006E2374" w14:paraId="4539A301" w14:textId="77777777" w:rsidTr="0084689F">
        <w:trPr>
          <w:trHeight w:val="340"/>
        </w:trPr>
        <w:tc>
          <w:tcPr>
            <w:tcW w:w="9078" w:type="dxa"/>
            <w:gridSpan w:val="6"/>
            <w:shd w:val="clear" w:color="auto" w:fill="FFFFFF"/>
            <w:vAlign w:val="center"/>
          </w:tcPr>
          <w:p w14:paraId="5C5508A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4689F" w:rsidRPr="006E2374" w14:paraId="270CB117" w14:textId="77777777" w:rsidTr="009C3E99">
        <w:trPr>
          <w:gridAfter w:val="1"/>
          <w:wAfter w:w="6" w:type="dxa"/>
          <w:trHeight w:val="262"/>
        </w:trPr>
        <w:tc>
          <w:tcPr>
            <w:tcW w:w="2977" w:type="dxa"/>
            <w:shd w:val="clear" w:color="auto" w:fill="FFFFFF"/>
          </w:tcPr>
          <w:p w14:paraId="4F2F45AA" w14:textId="1F9CD250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3905E9A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48A1D9A" w14:textId="0C363C45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19E66C0" w14:textId="17B2EB00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4D8AA5E" w14:textId="45EE20DD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B2CEA73" w14:textId="77777777" w:rsidR="0084689F" w:rsidRDefault="0084689F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3DD824" w14:textId="77777777" w:rsidR="000F6DF8" w:rsidRDefault="000F6DF8" w:rsidP="00B059C3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834DDA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Klasifikace</w:t>
      </w:r>
      <w:r w:rsidRPr="00EA3C7F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 xml:space="preserve"> přípravku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:</w:t>
      </w:r>
    </w:p>
    <w:p w14:paraId="5999AB61" w14:textId="77777777" w:rsidR="004B1CEE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Acute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Tox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4, H302; Skin </w:t>
      </w:r>
      <w:proofErr w:type="spellStart"/>
      <w:r w:rsidRPr="000F6DF8">
        <w:rPr>
          <w:rFonts w:ascii="Times New Roman" w:hAnsi="Times New Roman"/>
          <w:sz w:val="24"/>
          <w:szCs w:val="24"/>
        </w:rPr>
        <w:t>Sens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1, H317; </w:t>
      </w:r>
      <w:proofErr w:type="spellStart"/>
      <w:r w:rsidRPr="000F6DF8">
        <w:rPr>
          <w:rFonts w:ascii="Times New Roman" w:hAnsi="Times New Roman"/>
          <w:sz w:val="24"/>
          <w:szCs w:val="24"/>
        </w:rPr>
        <w:t>Repr</w:t>
      </w:r>
      <w:proofErr w:type="spellEnd"/>
      <w:r w:rsidRPr="000F6DF8">
        <w:rPr>
          <w:rFonts w:ascii="Times New Roman" w:hAnsi="Times New Roman"/>
          <w:sz w:val="24"/>
          <w:szCs w:val="24"/>
        </w:rPr>
        <w:t>. 2, H361fd, STOT RE 2, H373 (krev, brzlík)</w:t>
      </w:r>
    </w:p>
    <w:p w14:paraId="77507AF5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Aquatic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chronic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2, H411</w:t>
      </w:r>
    </w:p>
    <w:p w14:paraId="6589F739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8DE2709" w14:textId="77777777" w:rsidR="000F6DF8" w:rsidRDefault="000F6DF8" w:rsidP="000F6DF8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182D69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Označení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7D8C8298" w14:textId="77777777" w:rsidR="000F6DF8" w:rsidRDefault="000F6DF8" w:rsidP="000F6DF8">
      <w:pPr>
        <w:widowControl w:val="0"/>
        <w:numPr>
          <w:ilvl w:val="6"/>
          <w:numId w:val="13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A44A9">
        <w:rPr>
          <w:rFonts w:ascii="Times New Roman" w:hAnsi="Times New Roman"/>
          <w:i/>
          <w:snapToGrid w:val="0"/>
          <w:sz w:val="24"/>
          <w:szCs w:val="24"/>
        </w:rPr>
        <w:t xml:space="preserve">Výstražné symboly podle přílohy V nařízení </w:t>
      </w:r>
      <w:r w:rsidRPr="00CA44A9">
        <w:rPr>
          <w:rFonts w:ascii="Times New Roman" w:hAnsi="Times New Roman"/>
          <w:i/>
          <w:iCs/>
          <w:snapToGrid w:val="0"/>
          <w:sz w:val="24"/>
          <w:szCs w:val="24"/>
        </w:rPr>
        <w:t>(ES) č. 1272/2008, v platném znění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15624D6E" w14:textId="72156029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pacing w:val="-4"/>
          <w:sz w:val="24"/>
          <w:szCs w:val="24"/>
        </w:rPr>
        <w:t xml:space="preserve">   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389E48CB" wp14:editId="39D31690">
            <wp:extent cx="685800" cy="685800"/>
            <wp:effectExtent l="0" t="0" r="0" b="0"/>
            <wp:docPr id="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pacing w:val="-4"/>
          <w:sz w:val="24"/>
          <w:szCs w:val="24"/>
        </w:rPr>
        <w:drawing>
          <wp:inline distT="0" distB="0" distL="0" distR="0" wp14:anchorId="2B5B6D36" wp14:editId="2DF5D97A">
            <wp:extent cx="693420" cy="693420"/>
            <wp:effectExtent l="0" t="0" r="0" b="0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1813D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7985CF" wp14:editId="1A3FE4B3">
            <wp:extent cx="693420" cy="693420"/>
            <wp:effectExtent l="0" t="0" r="0" b="0"/>
            <wp:docPr id="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388B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23268F" w14:textId="77777777" w:rsidR="000F6DF8" w:rsidRPr="00182D69" w:rsidRDefault="000F6DF8" w:rsidP="000F6DF8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182D69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o nebezpečnosti podle přílohy III nařízení (ES) č. 1272/2008, v platném znění:</w:t>
      </w:r>
    </w:p>
    <w:p w14:paraId="0B8AEB62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H361fd Podezření na poškození reprodukční schopnosti nebo plodu v těle matky.</w:t>
      </w:r>
    </w:p>
    <w:p w14:paraId="6B74C140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H302 Zdraví škodlivý při požití.</w:t>
      </w:r>
    </w:p>
    <w:p w14:paraId="7926AC5B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H317 Může vyvolat alergickou kožní reakci.</w:t>
      </w:r>
    </w:p>
    <w:p w14:paraId="5BAF25DA" w14:textId="77777777" w:rsidR="000F6DF8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H373 Může způsobit poškození krve a brzlíku při prodloužené nebo opakované expozici.</w:t>
      </w:r>
    </w:p>
    <w:p w14:paraId="694C13B4" w14:textId="77777777" w:rsidR="000F6DF8" w:rsidRPr="00182D69" w:rsidRDefault="00384565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H411 </w:t>
      </w:r>
      <w:r w:rsidRPr="00384565">
        <w:rPr>
          <w:rFonts w:ascii="Times New Roman" w:hAnsi="Times New Roman"/>
          <w:sz w:val="24"/>
          <w:szCs w:val="24"/>
          <w:lang w:eastAsia="cs-CZ"/>
        </w:rPr>
        <w:t>Toxický pro vodní organismy, s dlouhodobými účinky.</w:t>
      </w:r>
    </w:p>
    <w:p w14:paraId="269CD5BB" w14:textId="77777777" w:rsidR="000F6DF8" w:rsidRPr="00DC3602" w:rsidRDefault="000F6DF8" w:rsidP="00DC3602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F6DF8">
        <w:rPr>
          <w:rFonts w:ascii="Times New Roman" w:hAnsi="Times New Roman"/>
          <w:sz w:val="24"/>
          <w:szCs w:val="24"/>
        </w:rPr>
        <w:tab/>
      </w: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Pr="00655D6B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589CB12E" w14:textId="77777777" w:rsidR="009F776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gumové nebo plastové rukavice označené piktogramem pro chemická nebezpečí podle ČSN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EN ISO 21420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s kódem podle ČSN EN ISO 374-1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314145DE" w14:textId="77777777" w:rsidR="009F7766" w:rsidRPr="009F776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ochranný oděv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podle ČSN EN ISO 27065 (pro práci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 pesticidy – typu C3), popř. celkový ochranný oděv typu 3 nebo 4 podle ČSN EN 14605+A1 označený grafickou značkou „ochrana proti chemikáliím“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podle ČSN EN ISO 13688</w:t>
      </w:r>
    </w:p>
    <w:p w14:paraId="30222F6A" w14:textId="77777777" w:rsidR="009F7766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(nezbytná podmínka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–</w:t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oděv musí mít dlouhé rukávy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a nohavice)</w:t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2A81C037" w14:textId="77777777" w:rsidR="002130D6" w:rsidRPr="00592C23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při ředění přípravku gumová nebo plastová zástěra</w:t>
      </w:r>
    </w:p>
    <w:p w14:paraId="4EB7B521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8AC80D6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uzavřená pracovní obuv podle ČSN EN ISO 20347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(s ohledem na vykonávanou práci</w:t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)</w:t>
      </w:r>
    </w:p>
    <w:p w14:paraId="0CD78762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Společný údaj k OOPP 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poškozené OOPP (např. protržené rukavice) je třeba urychleně vyměnit</w:t>
      </w:r>
    </w:p>
    <w:p w14:paraId="437174F9" w14:textId="77777777" w:rsidR="00121DFE" w:rsidRDefault="00121DFE" w:rsidP="009F7766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A13B09" w14:textId="70617E3F" w:rsidR="00121DFE" w:rsidRPr="00121DFE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aplikaci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21DFE">
        <w:rPr>
          <w:rFonts w:ascii="Times New Roman" w:hAnsi="Times New Roman"/>
          <w:color w:val="000000"/>
          <w:sz w:val="24"/>
          <w:szCs w:val="24"/>
        </w:rPr>
        <w:tab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>
        <w:rPr>
          <w:rFonts w:ascii="Times New Roman" w:hAnsi="Times New Roman"/>
          <w:color w:val="000000"/>
          <w:sz w:val="24"/>
          <w:szCs w:val="24"/>
        </w:rPr>
        <w:br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proti prachu, aerosolu</w:t>
      </w:r>
      <w:r w:rsidR="009F77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resp. parám, OOPP nejsou nutné. Musí však mít přichystané alespoň rezervní rukavice pro případ poruchy zařízení</w:t>
      </w:r>
      <w:r w:rsidRPr="007012C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8926BA3" w14:textId="677181D3" w:rsidR="009E32C2" w:rsidRDefault="009E32C2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AEC">
        <w:rPr>
          <w:rFonts w:ascii="Times New Roman" w:hAnsi="Times New Roman"/>
          <w:sz w:val="24"/>
          <w:szCs w:val="24"/>
        </w:rPr>
        <w:t xml:space="preserve">Přípravek lze aplikovat </w:t>
      </w:r>
      <w:r w:rsidR="0084689F" w:rsidRPr="0084689F">
        <w:rPr>
          <w:rFonts w:ascii="Times New Roman" w:hAnsi="Times New Roman"/>
          <w:sz w:val="24"/>
          <w:szCs w:val="24"/>
        </w:rPr>
        <w:t>postřikovači pro keřové a stromové kultury</w:t>
      </w:r>
      <w:r w:rsidRPr="00490AEC">
        <w:rPr>
          <w:rFonts w:ascii="Times New Roman" w:hAnsi="Times New Roman"/>
          <w:sz w:val="24"/>
          <w:szCs w:val="24"/>
        </w:rPr>
        <w:t>.</w:t>
      </w:r>
    </w:p>
    <w:p w14:paraId="4A7C669C" w14:textId="6036FCF0" w:rsidR="00FA22B0" w:rsidRP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>Nedoporučuje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FA22B0">
        <w:rPr>
          <w:rFonts w:ascii="Times New Roman" w:hAnsi="Times New Roman"/>
          <w:sz w:val="24"/>
          <w:szCs w:val="24"/>
        </w:rPr>
        <w:t xml:space="preserve"> použít traktor bez uzavřené kabiny pro řidiče.</w:t>
      </w:r>
    </w:p>
    <w:p w14:paraId="4804770D" w14:textId="77777777" w:rsidR="00BC6C42" w:rsidRPr="00C950C9" w:rsidRDefault="00C950C9" w:rsidP="00BC6C42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Vstup na ošetřený pozemek je možný až druhý den po aplikaci</w:t>
      </w:r>
      <w:r w:rsidR="00BC6C42" w:rsidRPr="00C950C9">
        <w:rPr>
          <w:rFonts w:ascii="Times New Roman" w:hAnsi="Times New Roman"/>
          <w:sz w:val="24"/>
          <w:szCs w:val="24"/>
        </w:rPr>
        <w:t>.</w:t>
      </w:r>
    </w:p>
    <w:p w14:paraId="6E58041D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9AB5870" w14:textId="77777777" w:rsidR="002927AD" w:rsidRPr="002130D6" w:rsidRDefault="002927AD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020233AB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490AE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490AEC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490AEC">
        <w:rPr>
          <w:rFonts w:ascii="Times New Roman" w:hAnsi="Times New Roman"/>
          <w:b/>
          <w:sz w:val="24"/>
          <w:szCs w:val="24"/>
          <w:u w:val="single"/>
        </w:rPr>
        <w:t>2</w:t>
      </w:r>
      <w:r w:rsidR="009C3E99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15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9C3E99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A52D6E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C99F9" w14:textId="77777777" w:rsidR="000248F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3BA419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3273B" w14:textId="77777777" w:rsidR="000248FF" w:rsidRPr="00861476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4B53C" w14:textId="77777777" w:rsidR="0086147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99E7C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C838" w14:textId="77777777" w:rsidR="008B7DD8" w:rsidRDefault="008B7DD8" w:rsidP="00CE12AE">
      <w:pPr>
        <w:spacing w:after="0" w:line="240" w:lineRule="auto"/>
      </w:pPr>
      <w:r>
        <w:separator/>
      </w:r>
    </w:p>
  </w:endnote>
  <w:endnote w:type="continuationSeparator" w:id="0">
    <w:p w14:paraId="091C0D4C" w14:textId="77777777" w:rsidR="008B7DD8" w:rsidRDefault="008B7DD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1A75" w14:textId="77777777" w:rsidR="008B7DD8" w:rsidRDefault="008B7DD8" w:rsidP="00CE12AE">
      <w:pPr>
        <w:spacing w:after="0" w:line="240" w:lineRule="auto"/>
      </w:pPr>
      <w:r>
        <w:separator/>
      </w:r>
    </w:p>
  </w:footnote>
  <w:footnote w:type="continuationSeparator" w:id="0">
    <w:p w14:paraId="1606C13F" w14:textId="77777777" w:rsidR="008B7DD8" w:rsidRDefault="008B7DD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2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1"/>
  </w:num>
  <w:num w:numId="6" w16cid:durableId="1655258309">
    <w:abstractNumId w:val="10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9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3754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60E0"/>
    <w:rsid w:val="000B0CFE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34C6F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B7DD8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3DFA"/>
    <w:rsid w:val="009A7871"/>
    <w:rsid w:val="009B3FC5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7DD6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2014-10-07T06:28:00Z</cp:lastPrinted>
  <dcterms:created xsi:type="dcterms:W3CDTF">2024-03-11T12:59:00Z</dcterms:created>
  <dcterms:modified xsi:type="dcterms:W3CDTF">2024-03-11T13:00:00Z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