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8"/>
          <w:szCs w:val="28"/>
        </w:rPr>
      </w:pPr>
      <w:r>
        <w:rPr>
          <w:rFonts w:cs="Times New Roman" w:ascii="Times New Roman" w:hAnsi="Times New Roman"/>
          <w:b/>
          <w:bCs/>
          <w:sz w:val="28"/>
          <w:szCs w:val="28"/>
        </w:rPr>
        <w:t>Ceník placeného stání ve vymezené oblasti náměstí Míru v Sobotce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0"/>
          <w:szCs w:val="20"/>
        </w:rPr>
      </w:pPr>
      <w:r>
        <w:rPr>
          <w:rFonts w:cs="Times New Roman" w:ascii="Times New Roman" w:hAnsi="Times New Roman"/>
          <w:sz w:val="20"/>
          <w:szCs w:val="20"/>
        </w:rPr>
        <w:t>Rada města Sobotky na své schůzi dne 17. 5. 2017 schválila tento ceník za stání silničních motorových vozidel dle nařízení města č. 1/2017 o placeném stání silničních motorových vozidel ve vymezené oblasti města Sobotky (dále jen „nařízení města“) takto:</w:t>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sectPr>
          <w:footerReference w:type="default" r:id="rId2"/>
          <w:type w:val="nextPage"/>
          <w:pgSz w:w="11906" w:h="16838"/>
          <w:pgMar w:left="1134" w:right="1134" w:gutter="0" w:header="0" w:top="1134" w:footer="567" w:bottom="1133"/>
          <w:pgNumType w:fmt="decimal"/>
          <w:formProt w:val="false"/>
          <w:textDirection w:val="lrTb"/>
          <w:docGrid w:type="default" w:linePitch="360" w:charSpace="0"/>
        </w:sectPr>
      </w:pPr>
    </w:p>
    <w:p>
      <w:pPr>
        <w:pStyle w:val="Normal"/>
        <w:jc w:val="center"/>
        <w:rPr>
          <w:rFonts w:ascii="Times New Roman" w:hAnsi="Times New Roman" w:cs="Times New Roman"/>
          <w:b/>
          <w:bCs/>
          <w:sz w:val="20"/>
          <w:szCs w:val="20"/>
        </w:rPr>
      </w:pPr>
      <w:r>
        <w:rPr>
          <w:rFonts w:cs="Times New Roman" w:ascii="Times New Roman" w:hAnsi="Times New Roman"/>
          <w:b/>
          <w:bCs/>
          <w:sz w:val="20"/>
          <w:szCs w:val="20"/>
        </w:rPr>
        <w:t>čl. I.</w:t>
      </w:r>
    </w:p>
    <w:p>
      <w:pPr>
        <w:pStyle w:val="Normal"/>
        <w:jc w:val="center"/>
        <w:rPr>
          <w:rFonts w:ascii="Times New Roman" w:hAnsi="Times New Roman" w:cs="Times New Roman"/>
          <w:b/>
          <w:bCs/>
          <w:sz w:val="20"/>
          <w:szCs w:val="20"/>
        </w:rPr>
      </w:pPr>
      <w:r>
        <w:rPr>
          <w:rFonts w:cs="Times New Roman" w:ascii="Times New Roman" w:hAnsi="Times New Roman"/>
          <w:b/>
          <w:bCs/>
          <w:sz w:val="20"/>
          <w:szCs w:val="20"/>
        </w:rPr>
        <w:t>Cena za stání silničních motorových vozidel - parkovací automaty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první hodina</w:t>
        <w:tab/>
        <w:tab/>
        <w:t xml:space="preserve"> </w:t>
        <w:tab/>
        <w:t xml:space="preserve">    0 Kč (zdarma)</w:t>
      </w:r>
    </w:p>
    <w:p>
      <w:pPr>
        <w:pStyle w:val="Normal"/>
        <w:rPr>
          <w:rFonts w:ascii="Times New Roman" w:hAnsi="Times New Roman" w:cs="Times New Roman"/>
          <w:sz w:val="20"/>
          <w:szCs w:val="20"/>
        </w:rPr>
      </w:pPr>
      <w:r>
        <w:rPr>
          <w:rFonts w:cs="Times New Roman" w:ascii="Times New Roman" w:hAnsi="Times New Roman"/>
          <w:sz w:val="20"/>
          <w:szCs w:val="20"/>
        </w:rPr>
        <w:t>druhá hodina</w:t>
        <w:tab/>
        <w:tab/>
        <w:t xml:space="preserve"> </w:t>
        <w:tab/>
        <w:t xml:space="preserve">  10 Kč</w:t>
      </w:r>
    </w:p>
    <w:p>
      <w:pPr>
        <w:pStyle w:val="Normal"/>
        <w:rPr>
          <w:rFonts w:ascii="Times New Roman" w:hAnsi="Times New Roman" w:cs="Times New Roman"/>
          <w:sz w:val="20"/>
          <w:szCs w:val="20"/>
        </w:rPr>
      </w:pPr>
      <w:r>
        <w:rPr>
          <w:rFonts w:cs="Times New Roman" w:ascii="Times New Roman" w:hAnsi="Times New Roman"/>
          <w:sz w:val="20"/>
          <w:szCs w:val="20"/>
        </w:rPr>
        <w:t>třetí hodina</w:t>
        <w:tab/>
        <w:tab/>
        <w:t xml:space="preserve"> </w:t>
        <w:tab/>
        <w:t xml:space="preserve">  20 Kč</w:t>
      </w:r>
    </w:p>
    <w:p>
      <w:pPr>
        <w:pStyle w:val="Normal"/>
        <w:rPr>
          <w:rFonts w:ascii="Times New Roman" w:hAnsi="Times New Roman" w:cs="Times New Roman"/>
          <w:sz w:val="20"/>
          <w:szCs w:val="20"/>
        </w:rPr>
      </w:pPr>
      <w:r>
        <w:rPr>
          <w:rFonts w:cs="Times New Roman" w:ascii="Times New Roman" w:hAnsi="Times New Roman"/>
          <w:sz w:val="20"/>
          <w:szCs w:val="20"/>
        </w:rPr>
        <w:t>čtvrtá hodina</w:t>
        <w:tab/>
        <w:tab/>
        <w:t xml:space="preserve"> </w:t>
        <w:tab/>
        <w:t xml:space="preserve">  30 Kč</w:t>
      </w:r>
    </w:p>
    <w:p>
      <w:pPr>
        <w:pStyle w:val="Normal"/>
        <w:rPr>
          <w:rFonts w:ascii="Times New Roman" w:hAnsi="Times New Roman" w:cs="Times New Roman"/>
          <w:sz w:val="20"/>
          <w:szCs w:val="20"/>
        </w:rPr>
      </w:pPr>
      <w:r>
        <w:rPr>
          <w:rFonts w:cs="Times New Roman" w:ascii="Times New Roman" w:hAnsi="Times New Roman"/>
          <w:sz w:val="20"/>
          <w:szCs w:val="20"/>
        </w:rPr>
        <w:t>pátá hodina</w:t>
        <w:tab/>
        <w:tab/>
        <w:tab/>
        <w:t xml:space="preserve">  40 Kč</w:t>
      </w:r>
    </w:p>
    <w:p>
      <w:pPr>
        <w:pStyle w:val="Normal"/>
        <w:rPr>
          <w:rFonts w:ascii="Times New Roman" w:hAnsi="Times New Roman" w:cs="Times New Roman"/>
          <w:sz w:val="20"/>
          <w:szCs w:val="20"/>
        </w:rPr>
      </w:pPr>
      <w:r>
        <w:rPr>
          <w:rFonts w:cs="Times New Roman" w:ascii="Times New Roman" w:hAnsi="Times New Roman"/>
          <w:sz w:val="20"/>
          <w:szCs w:val="20"/>
        </w:rPr>
        <w:t>celodenní stání</w:t>
        <w:tab/>
        <w:tab/>
        <w:tab/>
        <w:t>100 Kč</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b/>
          <w:bCs/>
          <w:sz w:val="20"/>
          <w:szCs w:val="20"/>
        </w:rPr>
      </w:pPr>
      <w:r>
        <w:rPr>
          <w:rFonts w:cs="Times New Roman" w:ascii="Times New Roman" w:hAnsi="Times New Roman"/>
          <w:b/>
          <w:bCs/>
          <w:sz w:val="20"/>
          <w:szCs w:val="20"/>
        </w:rPr>
        <w:t>čl. II.</w:t>
      </w:r>
    </w:p>
    <w:p>
      <w:pPr>
        <w:pStyle w:val="Normal"/>
        <w:jc w:val="center"/>
        <w:rPr>
          <w:rFonts w:ascii="Times New Roman" w:hAnsi="Times New Roman" w:cs="Times New Roman"/>
          <w:b/>
          <w:bCs/>
          <w:sz w:val="20"/>
          <w:szCs w:val="20"/>
        </w:rPr>
      </w:pPr>
      <w:r>
        <w:rPr>
          <w:rFonts w:cs="Times New Roman" w:ascii="Times New Roman" w:hAnsi="Times New Roman"/>
          <w:b/>
          <w:bCs/>
          <w:sz w:val="20"/>
          <w:szCs w:val="20"/>
        </w:rPr>
        <w:t>Cena za stání silničních motorových vozidel - parkovací karty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bidi w:val="0"/>
        <w:ind w:firstLine="227" w:end="0"/>
        <w:jc w:val="both"/>
        <w:rPr/>
      </w:pPr>
      <w:r>
        <w:rPr>
          <w:rFonts w:cs="Times New Roman" w:ascii="Times New Roman" w:hAnsi="Times New Roman"/>
          <w:b w:val="false"/>
          <w:bCs w:val="false"/>
          <w:sz w:val="20"/>
          <w:szCs w:val="20"/>
        </w:rPr>
        <w:t xml:space="preserve">(1) </w:t>
      </w:r>
      <w:r>
        <w:rPr>
          <w:rFonts w:cs="Times New Roman" w:ascii="Times New Roman" w:hAnsi="Times New Roman"/>
          <w:b/>
          <w:bCs/>
          <w:sz w:val="20"/>
          <w:szCs w:val="20"/>
        </w:rPr>
        <w:t xml:space="preserve">Parkovací karta typu „A“ </w:t>
      </w:r>
      <w:r>
        <w:rPr>
          <w:rFonts w:cs="Times New Roman" w:ascii="Times New Roman" w:hAnsi="Times New Roman"/>
          <w:b w:val="false"/>
          <w:bCs w:val="false"/>
          <w:sz w:val="20"/>
          <w:szCs w:val="20"/>
        </w:rPr>
        <w:t>je</w:t>
      </w:r>
      <w:r>
        <w:rPr>
          <w:rFonts w:cs="Times New Roman" w:ascii="Times New Roman" w:hAnsi="Times New Roman"/>
          <w:sz w:val="20"/>
          <w:szCs w:val="20"/>
        </w:rPr>
        <w:t xml:space="preserve"> vydávána pro provozovatele vozidla, který je </w:t>
      </w:r>
      <w:r>
        <w:rPr>
          <w:rFonts w:cs="Times New Roman" w:ascii="Times New Roman" w:hAnsi="Times New Roman"/>
          <w:b w:val="false"/>
          <w:color w:val="000000"/>
          <w:sz w:val="20"/>
          <w:szCs w:val="20"/>
        </w:rPr>
        <w:t>právnickou nebo fyzickou podnikající osobou, která má sídlo nebo provozovnu ve vymezené oblasti města</w:t>
      </w:r>
      <w:r>
        <w:rPr>
          <w:rFonts w:cs="Times New Roman" w:ascii="Times New Roman" w:hAnsi="Times New Roman"/>
          <w:sz w:val="20"/>
          <w:szCs w:val="20"/>
        </w:rPr>
        <w:t>, za úhradu ve výši:</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první karta</w:t>
        <w:tab/>
        <w:tab/>
        <w:tab/>
        <w:t>1 200 Kč</w:t>
      </w:r>
    </w:p>
    <w:p>
      <w:pPr>
        <w:pStyle w:val="Normal"/>
        <w:rPr>
          <w:rFonts w:ascii="Times New Roman" w:hAnsi="Times New Roman" w:cs="Times New Roman"/>
          <w:sz w:val="20"/>
          <w:szCs w:val="20"/>
        </w:rPr>
      </w:pPr>
      <w:r>
        <w:rPr>
          <w:rFonts w:cs="Times New Roman" w:ascii="Times New Roman" w:hAnsi="Times New Roman"/>
          <w:sz w:val="20"/>
          <w:szCs w:val="20"/>
        </w:rPr>
        <w:t>druhá a další karta</w:t>
        <w:tab/>
        <w:tab/>
        <w:t>2 400 Kč</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t>za 12 měsíců ode dne vydání. Při vydávání karty na dobu kratší než jeden rok, nejméně však na 3 měsíce se cena stanoví poměrnou částkou.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bidi w:val="0"/>
        <w:ind w:firstLine="283" w:end="0"/>
        <w:jc w:val="both"/>
        <w:rPr/>
      </w:pPr>
      <w:r>
        <w:rPr>
          <w:rFonts w:cs="Times New Roman" w:ascii="Times New Roman" w:hAnsi="Times New Roman"/>
          <w:b w:val="false"/>
          <w:bCs w:val="false"/>
          <w:sz w:val="20"/>
          <w:szCs w:val="20"/>
        </w:rPr>
        <w:t xml:space="preserve">(2) </w:t>
      </w:r>
      <w:r>
        <w:rPr>
          <w:rFonts w:cs="Times New Roman" w:ascii="Times New Roman" w:hAnsi="Times New Roman"/>
          <w:b/>
          <w:bCs/>
          <w:sz w:val="20"/>
          <w:szCs w:val="20"/>
        </w:rPr>
        <w:t>Parkovací karta typu „B“</w:t>
      </w:r>
      <w:r>
        <w:rPr>
          <w:rFonts w:cs="Times New Roman" w:ascii="Times New Roman" w:hAnsi="Times New Roman"/>
          <w:b w:val="false"/>
          <w:bCs w:val="false"/>
          <w:sz w:val="20"/>
          <w:szCs w:val="20"/>
        </w:rPr>
        <w:t xml:space="preserve"> </w:t>
      </w:r>
      <w:r>
        <w:rPr>
          <w:rFonts w:cs="Times New Roman" w:ascii="Times New Roman" w:hAnsi="Times New Roman"/>
          <w:sz w:val="20"/>
          <w:szCs w:val="20"/>
        </w:rPr>
        <w:t xml:space="preserve"> je vydávána pro fyzické osoby s trvalým pobytem ve vymezené oblasti města za úhradu ve výši:</w:t>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první karta</w:t>
        <w:tab/>
        <w:t xml:space="preserve">    </w:t>
        <w:tab/>
        <w:tab/>
        <w:t xml:space="preserve">   600 Kč </w:t>
      </w:r>
    </w:p>
    <w:p>
      <w:pPr>
        <w:pStyle w:val="Normal"/>
        <w:rPr>
          <w:rFonts w:ascii="Times New Roman" w:hAnsi="Times New Roman" w:cs="Times New Roman"/>
          <w:sz w:val="20"/>
          <w:szCs w:val="20"/>
        </w:rPr>
      </w:pPr>
      <w:r>
        <w:rPr>
          <w:rFonts w:cs="Times New Roman" w:ascii="Times New Roman" w:hAnsi="Times New Roman"/>
          <w:sz w:val="20"/>
          <w:szCs w:val="20"/>
        </w:rPr>
        <w:t>druhá a další karta</w:t>
        <w:tab/>
        <w:tab/>
        <w:t>1 200 Kč</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t>za 12 měsíců ode dne vydání. Při vydávání karty na dobu kratší než jeden rok, nejméně však na 3 měsíce se cena stanoví poměrnou částkou.</w:t>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bidi w:val="0"/>
        <w:ind w:firstLine="283" w:end="0"/>
        <w:jc w:val="both"/>
        <w:rPr/>
      </w:pPr>
      <w:r>
        <w:rPr>
          <w:rFonts w:cs="Times New Roman" w:ascii="Times New Roman" w:hAnsi="Times New Roman"/>
          <w:b w:val="false"/>
          <w:bCs w:val="false"/>
          <w:sz w:val="20"/>
          <w:szCs w:val="20"/>
        </w:rPr>
        <w:t xml:space="preserve">(3) </w:t>
      </w:r>
      <w:r>
        <w:rPr>
          <w:rFonts w:cs="Times New Roman" w:ascii="Times New Roman" w:hAnsi="Times New Roman"/>
          <w:b/>
          <w:bCs/>
          <w:sz w:val="20"/>
          <w:szCs w:val="20"/>
        </w:rPr>
        <w:t>Parkovací karta typu „C“</w:t>
      </w:r>
      <w:r>
        <w:rPr>
          <w:rFonts w:cs="Times New Roman" w:ascii="Times New Roman" w:hAnsi="Times New Roman"/>
          <w:b w:val="false"/>
          <w:bCs w:val="false"/>
          <w:sz w:val="20"/>
          <w:szCs w:val="20"/>
        </w:rPr>
        <w:t xml:space="preserve"> </w:t>
      </w:r>
      <w:r>
        <w:rPr>
          <w:rFonts w:cs="Times New Roman" w:ascii="Times New Roman" w:hAnsi="Times New Roman"/>
          <w:sz w:val="20"/>
          <w:szCs w:val="20"/>
        </w:rPr>
        <w:t>je vydávána bezplatně výhradně pro potřeby města a zřízených příspěvkových organizací.</w:t>
      </w:r>
    </w:p>
    <w:p>
      <w:pPr>
        <w:pStyle w:val="Normal"/>
        <w:bidi w:val="0"/>
        <w:spacing w:lineRule="auto" w:line="240" w:before="57" w:after="0"/>
        <w:ind w:firstLine="283" w:end="0"/>
        <w:jc w:val="both"/>
        <w:rPr/>
      </w:pPr>
      <w:r>
        <w:rPr>
          <w:rFonts w:cs="Times New Roman" w:ascii="Times New Roman" w:hAnsi="Times New Roman"/>
          <w:sz w:val="20"/>
          <w:szCs w:val="20"/>
        </w:rPr>
        <w:t xml:space="preserve">(4) Parkovací karta typu A obsahuje identifikaci držitele, tj. </w:t>
      </w:r>
      <w:r>
        <w:rPr>
          <w:rFonts w:cs="Times New Roman" w:ascii="Times New Roman" w:hAnsi="Times New Roman"/>
          <w:b w:val="false"/>
          <w:color w:val="000000"/>
          <w:sz w:val="20"/>
          <w:szCs w:val="20"/>
        </w:rPr>
        <w:t>právnické nebo podnikající fyzické osoby a čp. sídla nebo provozovny nebo registrační značku vozidla. Parkovací karta typu B obsahuje čp. místa trvalého pobytu držitele nebo čp. nemovitosti ve vlastnictví držitele nebo registrační značku vozidla. Parkovací karta typu C obsahuje identifikaci držitele. Parkovací karta dále obsahuje číslo karty, údaj o době platnosti karty, datum vydání karty, otisk úředního razítka a podpis zaměstnance Městského úřadu Sobotka, který kartu vydal.</w:t>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 xml:space="preserve">(7) Držitel parkovací karty je povinen zajistit, aby parkovací karta po celou dobu její platnosti nebyla poškozena či znehodnocena. Parkovací karta nesmí být jakkoliv neautorizovaně upravována či duplikována. Použití jakékoliv napodobeniny parkovací karty, včetně její grafické reprodukce, se zakazuje. Takové jednání se zároveň považuje za porušení tohoto nařízení města. </w:t>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(8) Při změně jakékoliv skutečnosti rozhodné pro nárok na vydání parkovací karty je její držitel povinen oznámit a současně doložit tuto změnu nejpozději do 5 pracovních dnů ode dne, kdy taková změna nastala, případně v téže lhůtě vrátit parkovací kartu, pokud na ni ztratil nárok.</w:t>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(9) Pokud držitel parkovací karty vydanou parkovací kartu z jakýchkoliv důvodů nevyužívá, ať už po celou dobu její platnosti či jen po část této doby, poplatek za vydání parkovací karty ani jeho poměrná část se nevrací.</w:t>
      </w:r>
    </w:p>
    <w:p>
      <w:pPr>
        <w:pStyle w:val="Normal"/>
        <w:bidi w:val="0"/>
        <w:spacing w:lineRule="auto" w:line="240" w:before="57" w:after="0"/>
        <w:ind w:firstLine="283" w:end="0"/>
        <w:jc w:val="both"/>
        <w:rPr>
          <w:rFonts w:ascii="Times New Roman" w:hAnsi="Times New Roman" w:cs="Times New Roman"/>
          <w:b w:val="false"/>
          <w:color w:val="000000"/>
          <w:sz w:val="20"/>
          <w:szCs w:val="20"/>
        </w:rPr>
      </w:pPr>
      <w:r>
        <w:rPr>
          <w:rFonts w:cs="Times New Roman" w:ascii="Times New Roman" w:hAnsi="Times New Roman"/>
          <w:b w:val="false"/>
          <w:color w:val="000000"/>
          <w:sz w:val="20"/>
          <w:szCs w:val="20"/>
        </w:rPr>
        <w:t>(10) Osoba, které byla parkovací karta vydána, je povinna ji na výzvu předložit ke kontrole Policii ČR, zaměstnanci MěÚ Sobotka po předložení zaměstnaneckého průkazu nebo Městem Sobotka pověřené osobě po předložení příslušného pověření.</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b/>
          <w:bCs/>
          <w:sz w:val="20"/>
          <w:szCs w:val="20"/>
        </w:rPr>
      </w:pPr>
      <w:r>
        <w:rPr>
          <w:rFonts w:cs="Times New Roman" w:ascii="Times New Roman" w:hAnsi="Times New Roman"/>
          <w:b/>
          <w:bCs/>
          <w:sz w:val="20"/>
          <w:szCs w:val="20"/>
        </w:rPr>
        <w:t>čl. III.</w:t>
      </w:r>
    </w:p>
    <w:p>
      <w:pPr>
        <w:pStyle w:val="Normal"/>
        <w:jc w:val="center"/>
        <w:rPr>
          <w:rFonts w:ascii="Times New Roman" w:hAnsi="Times New Roman" w:cs="Times New Roman"/>
          <w:b/>
          <w:bCs/>
          <w:sz w:val="20"/>
          <w:szCs w:val="20"/>
        </w:rPr>
      </w:pPr>
      <w:r>
        <w:rPr>
          <w:rFonts w:cs="Times New Roman" w:ascii="Times New Roman" w:hAnsi="Times New Roman"/>
          <w:b/>
          <w:bCs/>
          <w:sz w:val="20"/>
          <w:szCs w:val="20"/>
        </w:rPr>
        <w:t>Závěrečná ustanovení</w:t>
      </w:r>
    </w:p>
    <w:p>
      <w:pPr>
        <w:pStyle w:val="Normal"/>
        <w:bidi w:val="0"/>
        <w:ind w:firstLine="283" w:end="0"/>
        <w:jc w:val="both"/>
        <w:rPr/>
      </w:pPr>
      <w:r>
        <w:rPr>
          <w:rFonts w:cs="Times New Roman" w:ascii="Times New Roman" w:hAnsi="Times New Roman"/>
          <w:sz w:val="20"/>
          <w:szCs w:val="20"/>
        </w:rPr>
        <w:t>(1) Tento ceník nabývá účinnosti dne 12. června 2017.</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pPr>
      <w:r>
        <w:rPr>
          <w:rFonts w:cs="Times New Roman" w:ascii="Times New Roman" w:hAnsi="Times New Roman"/>
          <w:sz w:val="20"/>
          <w:szCs w:val="20"/>
        </w:rPr>
        <w:tab/>
        <w:tab/>
        <w:tab/>
        <w:tab/>
        <w:tab/>
        <w:tab/>
        <w:tab/>
        <w:tab/>
        <w:tab/>
        <w:t xml:space="preserve">           </w:t>
      </w:r>
      <w:r>
        <w:rPr>
          <w:rFonts w:eastAsia="Tahoma" w:cs="Times New Roman" w:ascii="Times New Roman" w:hAnsi="Times New Roman"/>
          <w:color w:val="auto"/>
          <w:kern w:val="2"/>
          <w:sz w:val="20"/>
          <w:szCs w:val="20"/>
          <w:lang w:val="cs-CZ" w:eastAsia="zxx" w:bidi="zxx"/>
        </w:rPr>
        <w:t xml:space="preserve">Ing. Lubor Jenček </w:t>
      </w:r>
    </w:p>
    <w:p>
      <w:pPr>
        <w:pStyle w:val="Normal"/>
        <w:rPr>
          <w:rFonts w:ascii="Times New Roman" w:hAnsi="Times New Roman" w:eastAsia="Tahoma" w:cs="Times New Roman"/>
          <w:color w:val="auto"/>
          <w:kern w:val="2"/>
          <w:sz w:val="20"/>
          <w:szCs w:val="20"/>
          <w:lang w:val="cs-CZ" w:eastAsia="zxx" w:bidi="zxx"/>
        </w:rPr>
      </w:pPr>
      <w:r>
        <w:rPr>
          <w:rFonts w:eastAsia="Tahoma" w:cs="Times New Roman" w:ascii="Times New Roman" w:hAnsi="Times New Roman"/>
          <w:color w:val="auto"/>
          <w:kern w:val="2"/>
          <w:sz w:val="20"/>
          <w:szCs w:val="20"/>
          <w:lang w:val="cs-CZ" w:eastAsia="zxx" w:bidi="zxx"/>
        </w:rPr>
        <w:tab/>
        <w:tab/>
        <w:tab/>
        <w:tab/>
        <w:t xml:space="preserve">       starosta</w:t>
      </w:r>
    </w:p>
    <w:p>
      <w:pPr>
        <w:pStyle w:val="Normal"/>
        <w:rPr/>
      </w:pPr>
      <w:r>
        <w:rPr/>
      </w:r>
    </w:p>
    <w:p>
      <w:pPr>
        <w:pStyle w:val="Normal"/>
        <w:rPr/>
      </w:pPr>
      <w:r>
        <w:rPr/>
      </w:r>
    </w:p>
    <w:p>
      <w:pPr>
        <w:pStyle w:val="BodyText"/>
        <w:bidi w:val="0"/>
        <w:spacing w:lineRule="auto" w:line="240" w:before="0" w:after="0"/>
        <w:jc w:val="both"/>
        <w:rPr/>
      </w:pPr>
      <w:r>
        <w:rPr/>
      </w:r>
    </w:p>
    <w:p>
      <w:pPr>
        <w:pStyle w:val="BodyText"/>
        <w:bidi w:val="0"/>
        <w:spacing w:lineRule="auto" w:line="240" w:before="0" w:after="0"/>
        <w:jc w:val="both"/>
        <w:rPr/>
      </w:pPr>
      <w:r>
        <w:rPr>
          <w:rFonts w:eastAsia="Tahoma" w:cs="Times New Roman" w:ascii="Times New Roman" w:hAnsi="Times New Roman"/>
          <w:color w:val="auto"/>
          <w:kern w:val="2"/>
          <w:sz w:val="20"/>
          <w:szCs w:val="20"/>
          <w:lang w:val="cs-CZ" w:eastAsia="zxx" w:bidi="zxx"/>
        </w:rPr>
        <w:t>Vyvěšeno dne 25. 5. 2017</w:t>
      </w:r>
    </w:p>
    <w:p>
      <w:pPr>
        <w:pStyle w:val="BodyText"/>
        <w:bidi w:val="0"/>
        <w:spacing w:lineRule="auto" w:line="240" w:before="0" w:after="0"/>
        <w:jc w:val="both"/>
        <w:rPr>
          <w:rFonts w:ascii="Times New Roman" w:hAnsi="Times New Roman" w:eastAsia="Tahoma" w:cs="Times New Roman"/>
          <w:color w:val="auto"/>
          <w:kern w:val="2"/>
          <w:sz w:val="20"/>
          <w:szCs w:val="20"/>
          <w:lang w:val="cs-CZ" w:eastAsia="zxx" w:bidi="zxx"/>
        </w:rPr>
      </w:pPr>
      <w:r>
        <w:rPr>
          <w:rFonts w:eastAsia="Tahoma" w:cs="Times New Roman" w:ascii="Times New Roman" w:hAnsi="Times New Roman"/>
          <w:color w:val="auto"/>
          <w:kern w:val="2"/>
          <w:sz w:val="20"/>
          <w:szCs w:val="20"/>
          <w:lang w:val="cs-CZ" w:eastAsia="zxx" w:bidi="zxx"/>
        </w:rPr>
      </w:r>
    </w:p>
    <w:p>
      <w:pPr>
        <w:pStyle w:val="BodyText"/>
        <w:bidi w:val="0"/>
        <w:spacing w:lineRule="auto" w:line="240" w:before="0" w:after="0"/>
        <w:jc w:val="both"/>
        <w:rPr>
          <w:rFonts w:ascii="Times New Roman" w:hAnsi="Times New Roman" w:eastAsia="Tahoma" w:cs="Times New Roman"/>
          <w:color w:val="auto"/>
          <w:kern w:val="2"/>
          <w:sz w:val="20"/>
          <w:szCs w:val="20"/>
          <w:lang w:val="cs-CZ" w:eastAsia="zxx" w:bidi="zxx"/>
        </w:rPr>
      </w:pPr>
      <w:r>
        <w:rPr>
          <w:rFonts w:eastAsia="Tahoma" w:cs="Times New Roman" w:ascii="Times New Roman" w:hAnsi="Times New Roman"/>
          <w:color w:val="auto"/>
          <w:kern w:val="2"/>
          <w:sz w:val="20"/>
          <w:szCs w:val="20"/>
          <w:lang w:val="cs-CZ" w:eastAsia="zxx" w:bidi="zxx"/>
        </w:rPr>
        <w:t>Sejmuto dne ………………......</w:t>
      </w:r>
    </w:p>
    <w:sectPr>
      <w:type w:val="continuous"/>
      <w:pgSz w:w="11906" w:h="16838"/>
      <w:pgMar w:left="1134" w:right="1134" w:gutter="0" w:header="0" w:top="1134" w:footer="567" w:bottom="1133"/>
      <w:cols w:num="2" w:space="566"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 ARABIC </w:instrText>
    </w:r>
    <w:r>
      <w:rPr>
        <w:sz w:val="20"/>
        <w:szCs w:val="20"/>
      </w:rPr>
      <w:fldChar w:fldCharType="separate"/>
    </w:r>
    <w:r>
      <w:rPr>
        <w:sz w:val="20"/>
        <w:szCs w:val="20"/>
      </w:rPr>
      <w:t>1</w:t>
    </w:r>
    <w:r>
      <w:rPr>
        <w:sz w:val="20"/>
        <w:szCs w:val="20"/>
      </w:rPr>
      <w:fldChar w:fldCharType="end"/>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SimSun" w:cs="Mangal"/>
      <w:color w:val="auto"/>
      <w:kern w:val="2"/>
      <w:sz w:val="24"/>
      <w:szCs w:val="24"/>
      <w:lang w:val="cs-CZ" w:eastAsia="zh-CN" w:bidi="hi-IN"/>
    </w:rPr>
  </w:style>
  <w:style w:type="character" w:styleId="Znakypropoznmkupodarou">
    <w:name w:val="Znaky pro poznámku pod čarou"/>
    <w:qFormat/>
    <w:rPr/>
  </w:style>
  <w:style w:type="character" w:styleId="FootnoteReference">
    <w:name w:val="Footnote Reference"/>
    <w:rPr>
      <w:vertAlign w:val="superscript"/>
    </w:rPr>
  </w:style>
  <w:style w:type="paragraph" w:styleId="Nadpis">
    <w:name w:val="Nadpis"/>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FootnoteText">
    <w:name w:val="Footnote Text"/>
    <w:basedOn w:val="Normal"/>
    <w:pPr>
      <w:suppressLineNumbers/>
      <w:ind w:hanging="339" w:start="339" w:end="0"/>
    </w:pPr>
    <w:rPr>
      <w:sz w:val="20"/>
      <w:szCs w:val="20"/>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5631</TotalTime>
  <Application>LibreOffice/7.6.1.2$Windows_X86_64 LibreOffice_project/f5defcebd022c5bc36bbb79be232cb6926d8f674</Application>
  <AppVersion>15.0000</AppVersion>
  <Pages>1</Pages>
  <Words>501</Words>
  <Characters>2718</Characters>
  <CharactersWithSpaces>3261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2017-04-21T12:49:09Z</dcterms:created>
  <dc:creator/>
  <dc:description/>
  <dc:language>cs-CZ</dc:language>
  <cp:lastModifiedBy/>
  <cp:lastPrinted>2017-05-25T14:00:00Z</cp:lastPrinted>
  <dcterms:modified xsi:type="dcterms:W3CDTF">2017-05-25T13:00:31Z</dcterms:modified>
  <cp:revision>14</cp:revision>
  <dc:subject/>
  <dc:title/>
</cp:coreProperties>
</file>