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278"/>
        <w:jc w:val="center"/>
        <w:rPr>
          <w:rFonts w:eastAsia="Tahoma" w:cs="Tahoma"/>
          <w:b/>
          <w:color w:val="auto"/>
          <w:kern w:val="2"/>
          <w:sz w:val="32"/>
          <w:szCs w:val="32"/>
          <w:lang w:val="cs-CZ" w:eastAsia="zxx" w:bidi="zxx"/>
        </w:rPr>
      </w:pPr>
      <w:r>
        <w:rPr>
          <w:rFonts w:eastAsia="Tahoma" w:cs="Tahoma"/>
          <w:b/>
          <w:color w:val="auto"/>
          <w:kern w:val="2"/>
          <w:sz w:val="32"/>
          <w:szCs w:val="32"/>
          <w:lang w:val="cs-CZ" w:eastAsia="zxx" w:bidi="zxx"/>
        </w:rPr>
        <w:t>Město Sobotka</w:t>
      </w:r>
    </w:p>
    <w:p>
      <w:pPr>
        <w:pStyle w:val="BodyText"/>
        <w:bidi w:val="0"/>
        <w:spacing w:before="278" w:after="113"/>
        <w:jc w:val="center"/>
        <w:rPr>
          <w:rFonts w:eastAsia="Tahoma" w:cs="Tahoma"/>
          <w:b/>
          <w:color w:val="auto"/>
          <w:kern w:val="2"/>
          <w:sz w:val="28"/>
          <w:szCs w:val="20"/>
          <w:lang w:val="cs-CZ" w:eastAsia="zxx" w:bidi="zxx"/>
        </w:rPr>
      </w:pPr>
      <w:r>
        <w:rPr>
          <w:rFonts w:eastAsia="Tahoma" w:cs="Tahoma"/>
          <w:b/>
          <w:color w:val="auto"/>
          <w:kern w:val="2"/>
          <w:sz w:val="28"/>
          <w:szCs w:val="20"/>
          <w:lang w:val="cs-CZ" w:eastAsia="zxx" w:bidi="zxx"/>
        </w:rPr>
        <w:t>Nařízení č. 1/2017</w:t>
      </w:r>
    </w:p>
    <w:p>
      <w:pPr>
        <w:pStyle w:val="Import1"/>
        <w:ind w:end="39"/>
        <w:jc w:val="center"/>
        <w:rPr>
          <w:rFonts w:eastAsia="Times New Roman" w:cs="Times New Roman"/>
          <w:b/>
          <w:color w:val="000000"/>
          <w:kern w:val="2"/>
          <w:sz w:val="28"/>
          <w:szCs w:val="28"/>
          <w:lang w:val="cs-CZ" w:eastAsia="zxx" w:bidi="zxx"/>
        </w:rPr>
      </w:pPr>
      <w:r>
        <w:rPr>
          <w:rFonts w:eastAsia="Times New Roman" w:cs="Times New Roman"/>
          <w:b/>
          <w:color w:val="000000"/>
          <w:kern w:val="2"/>
          <w:sz w:val="28"/>
          <w:szCs w:val="28"/>
          <w:lang w:val="cs-CZ" w:eastAsia="zxx" w:bidi="zxx"/>
        </w:rPr>
        <w:t>o placeném stání silničních motorových vozidel</w:t>
      </w:r>
    </w:p>
    <w:p>
      <w:pPr>
        <w:pStyle w:val="Import1"/>
        <w:ind w:end="39"/>
        <w:jc w:val="center"/>
        <w:rPr>
          <w:rFonts w:eastAsia="Times New Roman" w:cs="Times New Roman"/>
          <w:b/>
          <w:color w:val="000000"/>
          <w:kern w:val="2"/>
          <w:sz w:val="28"/>
          <w:szCs w:val="28"/>
          <w:lang w:val="cs-CZ" w:eastAsia="zxx" w:bidi="zxx"/>
        </w:rPr>
      </w:pPr>
      <w:r>
        <w:rPr>
          <w:rFonts w:eastAsia="Times New Roman" w:cs="Times New Roman"/>
          <w:b/>
          <w:color w:val="000000"/>
          <w:kern w:val="2"/>
          <w:sz w:val="28"/>
          <w:szCs w:val="28"/>
          <w:lang w:val="cs-CZ" w:eastAsia="zxx" w:bidi="zxx"/>
        </w:rPr>
        <w:t>ve vymezené oblasti města Sobotky</w:t>
      </w:r>
    </w:p>
    <w:p>
      <w:pPr>
        <w:pStyle w:val="Normal"/>
        <w:tabs>
          <w:tab w:val="clear" w:pos="708"/>
          <w:tab w:val="left" w:pos="5100" w:leader="none"/>
        </w:tabs>
        <w:bidi w:val="0"/>
        <w:spacing w:lineRule="auto" w:line="240" w:before="0" w:after="0"/>
        <w:ind w:firstLine="284" w:end="0"/>
        <w:jc w:val="both"/>
        <w:rPr>
          <w:rFonts w:eastAsia="Tahoma" w:cs="Tahoma"/>
          <w:b w:val="false"/>
          <w:color w:val="auto"/>
          <w:kern w:val="2"/>
          <w:sz w:val="20"/>
          <w:szCs w:val="20"/>
          <w:lang w:val="cs-CZ" w:eastAsia="zxx" w:bidi="zxx"/>
        </w:rPr>
      </w:pPr>
      <w:r>
        <w:rPr>
          <w:rFonts w:eastAsia="Tahoma" w:cs="Tahoma"/>
          <w:b w:val="false"/>
          <w:color w:val="auto"/>
          <w:kern w:val="2"/>
          <w:sz w:val="20"/>
          <w:szCs w:val="20"/>
          <w:lang w:val="cs-CZ" w:eastAsia="zxx" w:bidi="zxx"/>
        </w:rPr>
      </w:r>
    </w:p>
    <w:p>
      <w:pPr>
        <w:pStyle w:val="Normal"/>
        <w:tabs>
          <w:tab w:val="clear" w:pos="708"/>
          <w:tab w:val="left" w:pos="5100" w:leader="none"/>
        </w:tabs>
        <w:bidi w:val="0"/>
        <w:spacing w:lineRule="auto" w:line="240" w:before="0" w:after="0"/>
        <w:ind w:firstLine="284" w:end="0"/>
        <w:jc w:val="both"/>
        <w:rPr>
          <w:rFonts w:eastAsia="Tahoma" w:cs="Tahoma"/>
          <w:b w:val="false"/>
          <w:color w:val="auto"/>
          <w:kern w:val="2"/>
          <w:sz w:val="20"/>
          <w:szCs w:val="20"/>
          <w:lang w:val="cs-CZ" w:eastAsia="zxx" w:bidi="zxx"/>
        </w:rPr>
      </w:pPr>
      <w:r>
        <w:rPr>
          <w:rFonts w:eastAsia="Tahoma" w:cs="Tahoma"/>
          <w:b w:val="false"/>
          <w:color w:val="auto"/>
          <w:kern w:val="2"/>
          <w:sz w:val="20"/>
          <w:szCs w:val="20"/>
          <w:lang w:val="cs-CZ" w:eastAsia="zxx" w:bidi="zxx"/>
        </w:rPr>
      </w:r>
    </w:p>
    <w:p>
      <w:pPr>
        <w:pStyle w:val="Normal"/>
        <w:tabs>
          <w:tab w:val="clear" w:pos="708"/>
          <w:tab w:val="left" w:pos="5100" w:leader="none"/>
        </w:tabs>
        <w:bidi w:val="0"/>
        <w:spacing w:lineRule="auto" w:line="240" w:before="0" w:after="0"/>
        <w:ind w:firstLine="284" w:end="0"/>
        <w:jc w:val="both"/>
        <w:rPr>
          <w:rFonts w:eastAsia="Tahoma" w:cs="Tahoma"/>
          <w:b w:val="false"/>
          <w:color w:val="auto"/>
          <w:kern w:val="2"/>
          <w:sz w:val="20"/>
          <w:szCs w:val="20"/>
          <w:lang w:val="cs-CZ" w:eastAsia="zxx" w:bidi="zxx"/>
        </w:rPr>
      </w:pPr>
      <w:r>
        <w:rPr>
          <w:rFonts w:eastAsia="Tahoma" w:cs="Tahoma"/>
          <w:b w:val="false"/>
          <w:color w:val="auto"/>
          <w:kern w:val="2"/>
          <w:sz w:val="20"/>
          <w:szCs w:val="20"/>
          <w:lang w:val="cs-CZ" w:eastAsia="zxx" w:bidi="zxx"/>
        </w:rPr>
      </w:r>
    </w:p>
    <w:p>
      <w:pPr>
        <w:sectPr>
          <w:footerReference w:type="default" r:id="rId2"/>
          <w:type w:val="nextPage"/>
          <w:pgSz w:w="11906" w:h="16838"/>
          <w:pgMar w:left="1417" w:right="1134" w:gutter="0" w:header="0" w:top="1134" w:footer="567" w:bottom="1133"/>
          <w:pgNumType w:fmt="decimal"/>
          <w:formProt w:val="false"/>
          <w:textDirection w:val="lrTb"/>
          <w:docGrid w:type="default" w:linePitch="360" w:charSpace="0"/>
        </w:sectPr>
      </w:pPr>
    </w:p>
    <w:p>
      <w:pPr>
        <w:pStyle w:val="Normal"/>
        <w:tabs>
          <w:tab w:val="clear" w:pos="708"/>
          <w:tab w:val="left" w:pos="5100" w:leader="none"/>
        </w:tabs>
        <w:bidi w:val="0"/>
        <w:spacing w:lineRule="auto" w:line="240" w:before="0" w:after="0"/>
        <w:ind w:firstLine="284" w:end="0"/>
        <w:jc w:val="both"/>
        <w:rPr>
          <w:rFonts w:ascii="Times New Roman" w:hAnsi="Times New Roman" w:eastAsia="Tahoma" w:cs="Times New Roman"/>
          <w:b w:val="false"/>
          <w:bCs w:val="false"/>
          <w:color w:val="000000"/>
          <w:kern w:val="2"/>
          <w:sz w:val="20"/>
          <w:szCs w:val="20"/>
          <w:lang w:val="cs-CZ" w:eastAsia="zxx" w:bidi="zxx"/>
        </w:rPr>
      </w:pPr>
      <w:r>
        <w:rPr>
          <w:rFonts w:eastAsia="Tahoma" w:cs="Times New Roman" w:ascii="Times New Roman" w:hAnsi="Times New Roman"/>
          <w:b w:val="false"/>
          <w:bCs w:val="false"/>
          <w:color w:val="000000"/>
          <w:kern w:val="2"/>
          <w:sz w:val="20"/>
          <w:szCs w:val="20"/>
          <w:lang w:val="cs-CZ" w:eastAsia="zxx" w:bidi="zxx"/>
        </w:rPr>
        <w:t>Rada města Sobotky na své schůzi dne 17. 5. 2017 schválila podle § 23 zákona č. 13/1997 Sb., o pozemních komunikacích, ve znění pozdějších předpisů, zákona č. 526/1990 Sb. o cenách, ve znění pozdějších předpisů a v souladu s ust. §11 odst. 1 a § 102 odst. 2 písm. d) zákona č. 128/2000 Sb, o obcích v platném znění, toto nařízení města Sobotky.</w:t>
      </w:r>
    </w:p>
    <w:p>
      <w:pPr>
        <w:pStyle w:val="Normal"/>
        <w:tabs>
          <w:tab w:val="clear" w:pos="708"/>
          <w:tab w:val="left" w:pos="5100" w:leader="none"/>
        </w:tabs>
        <w:bidi w:val="0"/>
        <w:spacing w:lineRule="auto" w:line="240" w:before="0" w:after="0"/>
        <w:ind w:firstLine="284" w:end="0"/>
        <w:jc w:val="both"/>
        <w:rPr>
          <w:rFonts w:ascii="Times New Roman" w:hAnsi="Times New Roman" w:eastAsia="Tahoma" w:cs="Times New Roman"/>
          <w:b w:val="false"/>
          <w:bCs w:val="false"/>
          <w:color w:val="auto"/>
          <w:kern w:val="2"/>
          <w:sz w:val="20"/>
          <w:szCs w:val="20"/>
          <w:lang w:val="cs-CZ" w:eastAsia="zxx" w:bidi="zxx"/>
        </w:rPr>
      </w:pPr>
      <w:r>
        <w:rPr>
          <w:rFonts w:eastAsia="Tahoma" w:cs="Times New Roman" w:ascii="Times New Roman" w:hAnsi="Times New Roman"/>
          <w:b w:val="false"/>
          <w:bCs w:val="false"/>
          <w:color w:val="auto"/>
          <w:kern w:val="2"/>
          <w:sz w:val="20"/>
          <w:szCs w:val="20"/>
          <w:lang w:val="cs-CZ" w:eastAsia="zxx" w:bidi="zxx"/>
        </w:rPr>
      </w:r>
    </w:p>
    <w:p>
      <w:pPr>
        <w:pStyle w:val="BodyText"/>
        <w:bidi w:val="0"/>
        <w:spacing w:lineRule="auto" w:line="240" w:before="0" w:after="0"/>
        <w:jc w:val="center"/>
        <w:rPr>
          <w:rFonts w:ascii="Times New Roman" w:hAnsi="Times New Roman" w:eastAsia="Tahoma" w:cs="Times New Roman"/>
          <w:b/>
          <w:bCs/>
          <w:color w:val="auto"/>
          <w:kern w:val="2"/>
          <w:sz w:val="20"/>
          <w:szCs w:val="20"/>
          <w:lang w:val="cs-CZ" w:eastAsia="zxx" w:bidi="zxx"/>
        </w:rPr>
      </w:pPr>
      <w:r>
        <w:rPr>
          <w:rFonts w:eastAsia="Tahoma" w:cs="Times New Roman" w:ascii="Times New Roman" w:hAnsi="Times New Roman"/>
          <w:b/>
          <w:bCs/>
          <w:color w:val="auto"/>
          <w:kern w:val="2"/>
          <w:sz w:val="20"/>
          <w:szCs w:val="20"/>
          <w:lang w:val="cs-CZ" w:eastAsia="zxx" w:bidi="zxx"/>
        </w:rPr>
        <w:t>Čl. I</w:t>
      </w:r>
    </w:p>
    <w:p>
      <w:pPr>
        <w:pStyle w:val="Heading3"/>
        <w:bidi w:val="0"/>
        <w:spacing w:lineRule="auto" w:line="240" w:before="0" w:after="0"/>
        <w:ind w:hanging="0" w:start="0"/>
        <w:jc w:val="center"/>
        <w:rPr/>
      </w:pPr>
      <w:r>
        <w:rPr>
          <w:rFonts w:cs="Times New Roman" w:ascii="Times New Roman" w:hAnsi="Times New Roman"/>
          <w:color w:val="000000"/>
          <w:sz w:val="20"/>
          <w:szCs w:val="20"/>
        </w:rPr>
        <w:t>Předmět úpravy</w:t>
      </w:r>
    </w:p>
    <w:p>
      <w:pPr>
        <w:pStyle w:val="BodyText"/>
        <w:widowControl/>
        <w:tabs>
          <w:tab w:val="clear" w:pos="708"/>
          <w:tab w:val="left" w:pos="-284" w:leader="none"/>
        </w:tabs>
        <w:suppressAutoHyphens w:val="true"/>
        <w:bidi w:val="0"/>
        <w:spacing w:lineRule="auto" w:line="240" w:before="57" w:after="0"/>
        <w:ind w:firstLine="283" w:end="0"/>
        <w:jc w:val="both"/>
        <w:rPr/>
      </w:pPr>
      <w:r>
        <w:rPr>
          <w:rFonts w:cs="Times New Roman" w:ascii="Times New Roman" w:hAnsi="Times New Roman"/>
          <w:sz w:val="20"/>
          <w:szCs w:val="20"/>
          <w:lang w:val="cs-CZ"/>
        </w:rPr>
        <w:t>(1) Tímto nařízením se pro účely organizování dopravy a pro zajištění optimálního využití parkovacích</w:t>
      </w:r>
      <w:r>
        <w:rPr>
          <w:rFonts w:cs="Times New Roman" w:ascii="Times New Roman" w:hAnsi="Times New Roman"/>
          <w:sz w:val="20"/>
          <w:szCs w:val="20"/>
        </w:rPr>
        <w:t xml:space="preserve"> kapacit na území města </w:t>
      </w:r>
      <w:r>
        <w:rPr>
          <w:rFonts w:cs="Times New Roman" w:ascii="Times New Roman" w:hAnsi="Times New Roman"/>
          <w:sz w:val="20"/>
          <w:szCs w:val="20"/>
          <w:lang w:val="cs-CZ"/>
        </w:rPr>
        <w:t xml:space="preserve">stanovují pravidla pro placené stání silničních motorových vozidel </w:t>
      </w:r>
      <w:r>
        <w:rPr>
          <w:rFonts w:cs="Times New Roman" w:ascii="Times New Roman" w:hAnsi="Times New Roman"/>
          <w:b w:val="false"/>
          <w:color w:val="000000"/>
          <w:sz w:val="20"/>
          <w:szCs w:val="20"/>
          <w:lang w:val="cs-CZ"/>
        </w:rPr>
        <w:t>ve vymezené oblasti města Sobotky</w:t>
      </w:r>
      <w:r>
        <w:rPr>
          <w:rFonts w:cs="Times New Roman" w:ascii="Times New Roman" w:hAnsi="Times New Roman"/>
          <w:sz w:val="20"/>
          <w:szCs w:val="20"/>
          <w:lang w:val="cs-CZ"/>
        </w:rPr>
        <w:t xml:space="preserve">, včetně způsobu placení sjednané ceny a způsobu prokazování jejího zaplacení. </w:t>
      </w:r>
    </w:p>
    <w:p>
      <w:pPr>
        <w:pStyle w:val="BodyText"/>
        <w:widowControl/>
        <w:tabs>
          <w:tab w:val="clear" w:pos="708"/>
          <w:tab w:val="left" w:pos="0" w:leader="none"/>
        </w:tabs>
        <w:suppressAutoHyphens w:val="true"/>
        <w:bidi w:val="0"/>
        <w:spacing w:lineRule="auto" w:line="240" w:before="57" w:after="0"/>
        <w:ind w:firstLine="283" w:end="0"/>
        <w:jc w:val="both"/>
        <w:rPr/>
      </w:pPr>
      <w:r>
        <w:rPr>
          <w:rFonts w:cs="Times New Roman" w:ascii="Times New Roman" w:hAnsi="Times New Roman"/>
          <w:sz w:val="20"/>
          <w:szCs w:val="20"/>
          <w:lang w:val="cs-CZ"/>
        </w:rPr>
        <w:t>(2) Tímto nařízením se vymezuje oblast náměstí Míru v Sobot</w:t>
      </w:r>
      <w:r>
        <w:rPr>
          <w:rFonts w:cs="Times New Roman" w:ascii="Times New Roman" w:hAnsi="Times New Roman"/>
          <w:color w:val="000000"/>
          <w:sz w:val="20"/>
          <w:szCs w:val="20"/>
          <w:lang w:val="cs-CZ"/>
        </w:rPr>
        <w:t>ce dle přílohy č.1 tohoto nařízení (dále</w:t>
      </w:r>
      <w:r>
        <w:rPr>
          <w:rFonts w:cs="Times New Roman" w:ascii="Times New Roman" w:hAnsi="Times New Roman"/>
          <w:sz w:val="20"/>
          <w:szCs w:val="20"/>
          <w:lang w:val="cs-CZ"/>
        </w:rPr>
        <w:t xml:space="preserve"> jen "vymezená oblast"), ve které lze místní komunikace nebo jejich určené úseky užít jen za cenu sjednanou v souladu s cenovými předpisy</w:t>
      </w:r>
      <w:r>
        <w:rPr>
          <w:rStyle w:val="FootnoteReference"/>
          <w:rStyle w:val="FootnoteReference"/>
          <w:rFonts w:cs="Times New Roman" w:ascii="Times New Roman" w:hAnsi="Times New Roman"/>
          <w:sz w:val="20"/>
          <w:szCs w:val="20"/>
          <w:lang w:val="cs-CZ"/>
        </w:rPr>
        <w:footnoteReference w:id="2"/>
      </w:r>
      <w:r>
        <w:rPr>
          <w:rFonts w:cs="Times New Roman" w:ascii="Times New Roman" w:hAnsi="Times New Roman"/>
          <w:sz w:val="20"/>
          <w:szCs w:val="20"/>
          <w:lang w:val="cs-CZ"/>
        </w:rPr>
        <w:t>:</w:t>
      </w:r>
    </w:p>
    <w:p>
      <w:pPr>
        <w:pStyle w:val="Styl2"/>
        <w:widowControl/>
        <w:numPr>
          <w:ilvl w:val="0"/>
          <w:numId w:val="0"/>
        </w:numPr>
        <w:suppressAutoHyphens w:val="true"/>
        <w:bidi w:val="0"/>
        <w:spacing w:lineRule="auto" w:line="240" w:before="0" w:after="0"/>
        <w:ind w:hanging="227" w:start="227" w:end="0"/>
        <w:jc w:val="both"/>
        <w:rPr>
          <w:rFonts w:ascii="Times New Roman" w:hAnsi="Times New Roman" w:cs="Times New Roman"/>
          <w:sz w:val="20"/>
          <w:szCs w:val="20"/>
        </w:rPr>
      </w:pPr>
      <w:r>
        <w:rPr>
          <w:rFonts w:cs="Times New Roman" w:ascii="Times New Roman" w:hAnsi="Times New Roman"/>
          <w:sz w:val="20"/>
          <w:szCs w:val="20"/>
        </w:rPr>
        <w:t>a) k stání silničního motorového vozidla na dobu časově omezenou, nejvýše však na dobu 24 hodin;</w:t>
      </w:r>
    </w:p>
    <w:p>
      <w:pPr>
        <w:pStyle w:val="Styl2"/>
        <w:widowControl/>
        <w:numPr>
          <w:ilvl w:val="0"/>
          <w:numId w:val="0"/>
        </w:numPr>
        <w:suppressAutoHyphens w:val="true"/>
        <w:bidi w:val="0"/>
        <w:spacing w:lineRule="auto" w:line="240" w:before="0" w:after="0"/>
        <w:ind w:hanging="227" w:start="227" w:end="0"/>
        <w:jc w:val="both"/>
        <w:rPr/>
      </w:pPr>
      <w:r>
        <w:rPr>
          <w:rFonts w:cs="Times New Roman" w:ascii="Times New Roman" w:hAnsi="Times New Roman"/>
          <w:b w:val="false"/>
          <w:color w:val="000000"/>
          <w:sz w:val="20"/>
          <w:szCs w:val="20"/>
        </w:rPr>
        <w:t>b) k stání silničního motorového vozidla provozovaného právnickou nebo fyzickou osobou za účelem podnikání podle zvláštního právního předpisu</w:t>
      </w:r>
      <w:r>
        <w:rPr>
          <w:rStyle w:val="FootnoteReference"/>
          <w:rStyle w:val="FootnoteReference"/>
          <w:rFonts w:cs="Times New Roman" w:ascii="Times New Roman" w:hAnsi="Times New Roman"/>
          <w:b w:val="false"/>
          <w:color w:val="000000"/>
          <w:sz w:val="20"/>
          <w:szCs w:val="20"/>
          <w:vertAlign w:val="superscript"/>
        </w:rPr>
        <w:footnoteReference w:id="3"/>
      </w:r>
      <w:r>
        <w:rPr>
          <w:rFonts w:cs="Times New Roman" w:ascii="Times New Roman" w:hAnsi="Times New Roman"/>
          <w:b w:val="false"/>
          <w:color w:val="000000"/>
          <w:sz w:val="20"/>
          <w:szCs w:val="20"/>
        </w:rPr>
        <w:t>, která má sídlo nebo provozovnu ve vymezené oblasti města;</w:t>
      </w:r>
    </w:p>
    <w:p>
      <w:pPr>
        <w:pStyle w:val="Styl2"/>
        <w:widowControl/>
        <w:numPr>
          <w:ilvl w:val="0"/>
          <w:numId w:val="0"/>
        </w:numPr>
        <w:suppressAutoHyphens w:val="true"/>
        <w:bidi w:val="0"/>
        <w:spacing w:lineRule="auto" w:line="240" w:before="0" w:after="0"/>
        <w:ind w:hanging="227" w:start="227" w:end="0"/>
        <w:jc w:val="both"/>
        <w:rPr>
          <w:rFonts w:ascii="Times New Roman" w:hAnsi="Times New Roman" w:cs="Times New Roman"/>
          <w:b w:val="false"/>
          <w:color w:val="000000"/>
          <w:sz w:val="20"/>
          <w:szCs w:val="20"/>
        </w:rPr>
      </w:pPr>
      <w:r>
        <w:rPr>
          <w:rFonts w:cs="Times New Roman" w:ascii="Times New Roman" w:hAnsi="Times New Roman"/>
          <w:b w:val="false"/>
          <w:color w:val="000000"/>
          <w:sz w:val="20"/>
          <w:szCs w:val="20"/>
        </w:rPr>
        <w:t>c) k stání silničního motorového vozidla fyzické osoby, která má místo trvalého pobytu nebo je vlastníkem nemovitosti ve vymezené části města.</w:t>
      </w:r>
    </w:p>
    <w:p>
      <w:pPr>
        <w:pStyle w:val="Heading3"/>
        <w:widowControl/>
        <w:suppressAutoHyphens w:val="true"/>
        <w:bidi w:val="0"/>
        <w:spacing w:lineRule="auto" w:line="240" w:before="57" w:after="0"/>
        <w:ind w:firstLine="283" w:start="0"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Čl. II</w:t>
      </w:r>
    </w:p>
    <w:p>
      <w:pPr>
        <w:pStyle w:val="Normal"/>
        <w:bidi w:val="0"/>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Časový režim zpoplatnění stání</w:t>
      </w:r>
    </w:p>
    <w:p>
      <w:pPr>
        <w:pStyle w:val="Normal"/>
        <w:widowControl/>
        <w:suppressAutoHyphens w:val="true"/>
        <w:bidi w:val="0"/>
        <w:spacing w:lineRule="auto" w:line="240" w:before="0" w:after="0"/>
        <w:ind w:firstLine="283" w:end="0"/>
        <w:jc w:val="both"/>
        <w:rPr>
          <w:rFonts w:ascii="Times New Roman" w:hAnsi="Times New Roman" w:cs="Times New Roman"/>
          <w:sz w:val="20"/>
          <w:szCs w:val="20"/>
        </w:rPr>
      </w:pPr>
      <w:r>
        <w:rPr>
          <w:rFonts w:cs="Times New Roman" w:ascii="Times New Roman" w:hAnsi="Times New Roman"/>
          <w:sz w:val="20"/>
          <w:szCs w:val="20"/>
        </w:rPr>
        <w:t>(1) Doba zpoplatnění stání ve vymezené oblasti je stanovena na pondělí až neděle od 8:00 hod. do 18:00 hod..</w:t>
      </w:r>
    </w:p>
    <w:p>
      <w:pPr>
        <w:pStyle w:val="Normal"/>
        <w:widowControl/>
        <w:suppressAutoHyphens w:val="true"/>
        <w:bidi w:val="0"/>
        <w:spacing w:lineRule="auto" w:line="240" w:before="0" w:after="0"/>
        <w:ind w:firstLine="283" w:end="0"/>
        <w:jc w:val="both"/>
        <w:rPr>
          <w:rFonts w:ascii="Times New Roman" w:hAnsi="Times New Roman" w:cs="Times New Roman"/>
          <w:sz w:val="20"/>
          <w:szCs w:val="20"/>
        </w:rPr>
      </w:pPr>
      <w:r>
        <w:rPr>
          <w:rFonts w:cs="Times New Roman" w:ascii="Times New Roman" w:hAnsi="Times New Roman"/>
          <w:sz w:val="20"/>
          <w:szCs w:val="20"/>
        </w:rPr>
        <w:t>(2) Mimo výše uvedenou dobu je stání bezplatné.</w:t>
      </w:r>
    </w:p>
    <w:p>
      <w:pPr>
        <w:pStyle w:val="Normal"/>
        <w:bidi w:val="0"/>
        <w:spacing w:lineRule="auto" w:line="240" w:before="0" w:after="0"/>
        <w:ind w:hanging="454" w:start="454" w:end="0"/>
        <w:jc w:val="both"/>
        <w:rPr>
          <w:rFonts w:ascii="Times New Roman" w:hAnsi="Times New Roman" w:cs="Times New Roman"/>
          <w:b/>
          <w:bCs/>
          <w:sz w:val="20"/>
          <w:szCs w:val="20"/>
        </w:rPr>
      </w:pPr>
      <w:r>
        <w:rPr>
          <w:rFonts w:cs="Times New Roman" w:ascii="Times New Roman" w:hAnsi="Times New Roman"/>
          <w:b/>
          <w:bCs/>
          <w:sz w:val="20"/>
          <w:szCs w:val="20"/>
        </w:rPr>
      </w:r>
    </w:p>
    <w:p>
      <w:pPr>
        <w:pStyle w:val="Normal"/>
        <w:bidi w:val="0"/>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Čl. III</w:t>
      </w:r>
    </w:p>
    <w:p>
      <w:pPr>
        <w:pStyle w:val="Normal"/>
        <w:bidi w:val="0"/>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Placení ceny za stání</w:t>
      </w:r>
    </w:p>
    <w:p>
      <w:pPr>
        <w:pStyle w:val="Normal"/>
        <w:widowControl/>
        <w:suppressAutoHyphens w:val="true"/>
        <w:bidi w:val="0"/>
        <w:spacing w:lineRule="auto" w:line="240" w:before="57" w:after="0"/>
        <w:ind w:firstLine="283" w:end="0"/>
        <w:jc w:val="both"/>
        <w:rPr/>
      </w:pPr>
      <w:r>
        <w:rPr>
          <w:rFonts w:cs="Times New Roman" w:ascii="Times New Roman" w:hAnsi="Times New Roman"/>
          <w:sz w:val="20"/>
          <w:szCs w:val="20"/>
        </w:rPr>
        <w:t>(1) Stání ve vymezené oblasti je v době uvedené v čl. II možné jen po uhraze</w:t>
      </w:r>
      <w:r>
        <w:rPr>
          <w:rFonts w:cs="Times New Roman" w:ascii="Times New Roman" w:hAnsi="Times New Roman"/>
          <w:color w:val="000000"/>
          <w:sz w:val="20"/>
          <w:szCs w:val="20"/>
        </w:rPr>
        <w:t>ní sjednané ceny (dále jen "parkovné"), není-li dále stan</w:t>
      </w:r>
      <w:r>
        <w:rPr>
          <w:rFonts w:cs="Times New Roman" w:ascii="Times New Roman" w:hAnsi="Times New Roman"/>
          <w:sz w:val="20"/>
          <w:szCs w:val="20"/>
        </w:rPr>
        <w:t>oveno jinak.</w:t>
      </w:r>
    </w:p>
    <w:p>
      <w:pPr>
        <w:pStyle w:val="Normal"/>
        <w:widowControl/>
        <w:suppressAutoHyphens w:val="true"/>
        <w:bidi w:val="0"/>
        <w:spacing w:lineRule="auto" w:line="240" w:before="57" w:after="0"/>
        <w:ind w:firstLine="283" w:end="0"/>
        <w:jc w:val="both"/>
        <w:rPr>
          <w:rFonts w:ascii="Times New Roman" w:hAnsi="Times New Roman" w:cs="Times New Roman"/>
          <w:b w:val="false"/>
          <w:color w:val="000000"/>
          <w:sz w:val="20"/>
          <w:szCs w:val="20"/>
        </w:rPr>
      </w:pPr>
      <w:r>
        <w:rPr>
          <w:rFonts w:cs="Times New Roman" w:ascii="Times New Roman" w:hAnsi="Times New Roman"/>
          <w:b w:val="false"/>
          <w:color w:val="000000"/>
          <w:sz w:val="20"/>
          <w:szCs w:val="20"/>
        </w:rPr>
        <w:t>(2) Parkovné za stání ve vymezené oblasti se hradí:</w:t>
      </w:r>
    </w:p>
    <w:p>
      <w:pPr>
        <w:pStyle w:val="Styl2"/>
        <w:widowControl/>
        <w:numPr>
          <w:ilvl w:val="0"/>
          <w:numId w:val="0"/>
        </w:numPr>
        <w:tabs>
          <w:tab w:val="clear" w:pos="709"/>
          <w:tab w:val="left" w:pos="1588" w:leader="none"/>
        </w:tabs>
        <w:suppressAutoHyphens w:val="true"/>
        <w:bidi w:val="0"/>
        <w:spacing w:lineRule="auto" w:line="240" w:before="0" w:after="0"/>
        <w:ind w:hanging="227" w:start="227" w:end="0"/>
        <w:jc w:val="both"/>
        <w:rPr>
          <w:rFonts w:ascii="Times New Roman" w:hAnsi="Times New Roman" w:cs="Times New Roman"/>
          <w:sz w:val="20"/>
          <w:szCs w:val="20"/>
        </w:rPr>
      </w:pPr>
      <w:r>
        <w:rPr>
          <w:rFonts w:cs="Times New Roman" w:ascii="Times New Roman" w:hAnsi="Times New Roman"/>
          <w:sz w:val="20"/>
          <w:szCs w:val="20"/>
        </w:rPr>
        <w:t>a) zakoupením parkovacího lístku v parkovacím automatu;</w:t>
      </w:r>
    </w:p>
    <w:p>
      <w:pPr>
        <w:pStyle w:val="Normal"/>
        <w:widowControl/>
        <w:suppressAutoHyphens w:val="true"/>
        <w:bidi w:val="0"/>
        <w:spacing w:lineRule="auto" w:line="240" w:before="0" w:after="0"/>
        <w:ind w:hanging="227" w:start="227" w:end="0"/>
        <w:jc w:val="both"/>
        <w:rPr>
          <w:rFonts w:ascii="Times New Roman" w:hAnsi="Times New Roman" w:cs="Times New Roman"/>
          <w:b w:val="false"/>
          <w:color w:val="000000"/>
          <w:sz w:val="20"/>
          <w:szCs w:val="20"/>
        </w:rPr>
      </w:pPr>
      <w:r>
        <w:rPr>
          <w:rFonts w:cs="Times New Roman" w:ascii="Times New Roman" w:hAnsi="Times New Roman"/>
          <w:b w:val="false"/>
          <w:color w:val="000000"/>
          <w:sz w:val="20"/>
          <w:szCs w:val="20"/>
        </w:rPr>
        <w:t>b) zakoupením parkovací karty, není-li dále stanoveno jinak.</w:t>
      </w:r>
    </w:p>
    <w:p>
      <w:pPr>
        <w:pStyle w:val="Normal"/>
        <w:widowControl/>
        <w:suppressAutoHyphens w:val="true"/>
        <w:bidi w:val="0"/>
        <w:spacing w:lineRule="auto" w:line="240" w:before="57" w:after="0"/>
        <w:ind w:firstLine="283" w:end="0"/>
        <w:jc w:val="both"/>
        <w:rPr/>
      </w:pPr>
      <w:r>
        <w:rPr>
          <w:rFonts w:cs="Times New Roman" w:ascii="Times New Roman" w:hAnsi="Times New Roman"/>
          <w:sz w:val="20"/>
          <w:szCs w:val="20"/>
        </w:rPr>
        <w:t>(3</w:t>
      </w:r>
      <w:r>
        <w:rPr>
          <w:rFonts w:cs="Times New Roman" w:ascii="Times New Roman" w:hAnsi="Times New Roman"/>
          <w:color w:val="000000"/>
          <w:sz w:val="20"/>
          <w:szCs w:val="20"/>
        </w:rPr>
        <w:t>) Výše parkovného za stání dle čl. I odst. 2 písm. a)</w:t>
      </w:r>
      <w:r>
        <w:rPr>
          <w:rFonts w:cs="Times New Roman" w:ascii="Times New Roman" w:hAnsi="Times New Roman"/>
          <w:b w:val="false"/>
          <w:color w:val="000000"/>
          <w:sz w:val="20"/>
          <w:szCs w:val="20"/>
        </w:rPr>
        <w:t xml:space="preserve"> a ceny parkovacích karet jsou stanoveny „Ceníkem placeného stání ve vymezené oblasti náměstí Míru v Sobotce“ schváleným Radou města Sobotka (dále jen "ceník"). Ceny  krátkodobého časového parkovného jsou uvedeny na parkovacích automatech. </w:t>
      </w:r>
    </w:p>
    <w:p>
      <w:pPr>
        <w:pStyle w:val="Styl2"/>
        <w:numPr>
          <w:ilvl w:val="0"/>
          <w:numId w:val="0"/>
        </w:numPr>
        <w:bidi w:val="0"/>
        <w:spacing w:lineRule="auto" w:line="240" w:before="0" w:after="0"/>
        <w:ind w:hanging="255" w:start="709"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Čl. IV</w:t>
      </w:r>
    </w:p>
    <w:p>
      <w:pPr>
        <w:pStyle w:val="Normal"/>
        <w:bidi w:val="0"/>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Způsob prokazování oprávněnosti parkování</w:t>
      </w:r>
    </w:p>
    <w:p>
      <w:pPr>
        <w:pStyle w:val="Normal"/>
        <w:widowControl/>
        <w:suppressAutoHyphens w:val="true"/>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t>(1) Zaplacení parkovného a oprávněnost parkování v době dle čl. II odst.1 řidič prokazuje parkovacím lístkem vydaným parkovacím automatem nebo parkovací kartou (dále jen "doklad"). Tento doklad je řidič povinen umístit na viditelném místě za čelním sklem vozidla takovým způsobem, který umožní zřetelně registrovat údaje potvrzující platnost dokladu a ponechat ho tam po celou dobu stání vozidla ve vymezené oblasti.</w:t>
      </w:r>
    </w:p>
    <w:p>
      <w:pPr>
        <w:pStyle w:val="Normal"/>
        <w:widowControl/>
        <w:suppressAutoHyphens w:val="true"/>
        <w:bidi w:val="0"/>
        <w:spacing w:lineRule="auto" w:line="240" w:before="57" w:after="0"/>
        <w:ind w:firstLine="283" w:end="0"/>
        <w:jc w:val="both"/>
        <w:rPr>
          <w:rFonts w:ascii="Times New Roman" w:hAnsi="Times New Roman" w:cs="Times New Roman"/>
          <w:color w:val="000000"/>
          <w:sz w:val="20"/>
          <w:szCs w:val="20"/>
        </w:rPr>
      </w:pPr>
      <w:r>
        <w:rPr>
          <w:rFonts w:cs="Times New Roman" w:ascii="Times New Roman" w:hAnsi="Times New Roman"/>
          <w:color w:val="000000"/>
          <w:sz w:val="20"/>
          <w:szCs w:val="20"/>
        </w:rPr>
        <w:t>(2) Řidič motocyklu je povinen uschovat doklad u sebe a na výzvu ho předložit oprávněné osobě.</w:t>
      </w:r>
    </w:p>
    <w:p>
      <w:pPr>
        <w:pStyle w:val="Normal"/>
        <w:widowControl/>
        <w:suppressAutoHyphens w:val="true"/>
        <w:bidi w:val="0"/>
        <w:spacing w:lineRule="auto" w:line="240" w:before="57" w:after="0"/>
        <w:ind w:firstLine="283" w:end="0"/>
        <w:jc w:val="both"/>
        <w:rPr>
          <w:rFonts w:ascii="Times New Roman" w:hAnsi="Times New Roman" w:cs="Times New Roman"/>
          <w:color w:val="000000"/>
          <w:sz w:val="20"/>
          <w:szCs w:val="20"/>
        </w:rPr>
      </w:pPr>
      <w:r>
        <w:rPr>
          <w:rFonts w:cs="Times New Roman" w:ascii="Times New Roman" w:hAnsi="Times New Roman"/>
          <w:color w:val="000000"/>
          <w:sz w:val="20"/>
          <w:szCs w:val="20"/>
        </w:rPr>
        <w:t>(3) Je-li v ceníku dle čl. III odst.3 stanovena doba stání s nulovou cenou parkovného, prokazuje řidič oprávněnost parkování v době dle čl. II odst.1 parkovacím lístkem (s nulovou cenou) vydaným parkovacím automatem nebo parkovacím kotoučem, na kterém vyznačí čas začátku parkování. Parkovací lístek nebo parkovací kotouč je řidič povinen umístit na viditelném místě za čelním sklem vozidla takovým způsobem, který umožní zřetelně registrovat údaje potvrzující platnost dokladu a ponechat ho tam po celou dobu stání vozidla ve vymezené oblasti.</w:t>
      </w:r>
    </w:p>
    <w:p>
      <w:pPr>
        <w:pStyle w:val="Normal"/>
        <w:overflowPunct w:val="false"/>
        <w:bidi w:val="0"/>
        <w:spacing w:lineRule="auto" w:line="240" w:before="0" w:after="0"/>
        <w:ind w:firstLine="397" w:end="0"/>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bidi w:val="0"/>
        <w:spacing w:lineRule="auto" w:line="240" w:before="0" w:after="0"/>
        <w:ind w:end="0"/>
        <w:jc w:val="center"/>
        <w:rPr>
          <w:rFonts w:ascii="Times New Roman" w:hAnsi="Times New Roman" w:cs="Times New Roman"/>
          <w:b/>
          <w:sz w:val="20"/>
          <w:szCs w:val="20"/>
        </w:rPr>
      </w:pPr>
      <w:r>
        <w:rPr>
          <w:rFonts w:cs="Times New Roman" w:ascii="Times New Roman" w:hAnsi="Times New Roman"/>
          <w:b/>
          <w:sz w:val="20"/>
          <w:szCs w:val="20"/>
        </w:rPr>
        <w:t>Čl. V</w:t>
      </w:r>
    </w:p>
    <w:p>
      <w:pPr>
        <w:pStyle w:val="Normal"/>
        <w:widowControl/>
        <w:suppressAutoHyphens w:val="true"/>
        <w:bidi w:val="0"/>
        <w:spacing w:lineRule="auto" w:line="240" w:before="0" w:after="0"/>
        <w:ind w:end="0"/>
        <w:jc w:val="center"/>
        <w:rPr>
          <w:rFonts w:ascii="Times New Roman" w:hAnsi="Times New Roman" w:cs="Times New Roman"/>
          <w:b/>
          <w:sz w:val="20"/>
          <w:szCs w:val="20"/>
        </w:rPr>
      </w:pPr>
      <w:r>
        <w:rPr>
          <w:rFonts w:cs="Times New Roman" w:ascii="Times New Roman" w:hAnsi="Times New Roman"/>
          <w:b/>
          <w:sz w:val="20"/>
          <w:szCs w:val="20"/>
        </w:rPr>
        <w:t>Parkovací karty</w:t>
      </w:r>
    </w:p>
    <w:p>
      <w:pPr>
        <w:pStyle w:val="Normal"/>
        <w:widowControl/>
        <w:suppressAutoHyphens w:val="true"/>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t>(1) Parkovací karty typu A vydávané k stání dle čl. I odst.2 písm. b) a typu B vydávané k stání dle čl. I odst. 2 písm. c) opravňují držitele k placenému stání ve vymezené oblasti. Držitelem této parkovací karty mohou být pouze osoby uvedené v čl. 1 odst. 2 písm. b) a c) tohoto nařízení.</w:t>
      </w:r>
    </w:p>
    <w:p>
      <w:pPr>
        <w:pStyle w:val="Normal"/>
        <w:widowControl/>
        <w:suppressAutoHyphens w:val="true"/>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t xml:space="preserve">(2) Parkovací karta typu C opravňuje k bezplatnému parkování ve vymezené oblasti. </w:t>
      </w:r>
    </w:p>
    <w:p>
      <w:pPr>
        <w:pStyle w:val="Normal"/>
        <w:bidi w:val="0"/>
        <w:spacing w:lineRule="auto" w:line="240" w:before="57" w:after="0"/>
        <w:ind w:firstLine="283" w:end="0"/>
        <w:jc w:val="both"/>
        <w:rPr/>
      </w:pPr>
      <w:r>
        <w:rPr>
          <w:rFonts w:cs="Times New Roman" w:ascii="Times New Roman" w:hAnsi="Times New Roman"/>
          <w:sz w:val="20"/>
          <w:szCs w:val="20"/>
        </w:rPr>
        <w:t xml:space="preserve">(3) Parkovací karta obsahuje identifikaci držitele </w:t>
      </w:r>
      <w:r>
        <w:rPr>
          <w:rFonts w:cs="Times New Roman" w:ascii="Times New Roman" w:hAnsi="Times New Roman"/>
          <w:b w:val="false"/>
          <w:color w:val="000000"/>
          <w:sz w:val="20"/>
          <w:szCs w:val="20"/>
        </w:rPr>
        <w:t xml:space="preserve">nebo registrační značku vozidla, číslo karty, údaj o době platnosti karty, datum vydání karty, otisk úředního razítka a podpis zaměstnance Městského úřadu Sobotka, který kartu vydal. </w:t>
      </w:r>
      <w:bookmarkStart w:id="0" w:name="_GoBack"/>
    </w:p>
    <w:p>
      <w:pPr>
        <w:pStyle w:val="Normal"/>
        <w:bidi w:val="0"/>
        <w:spacing w:lineRule="auto" w:line="240" w:before="57" w:after="0"/>
        <w:ind w:firstLine="283" w:end="0"/>
        <w:jc w:val="both"/>
        <w:rPr>
          <w:rFonts w:ascii="Times New Roman" w:hAnsi="Times New Roman" w:cs="Times New Roman"/>
          <w:sz w:val="20"/>
          <w:szCs w:val="20"/>
        </w:rPr>
      </w:pPr>
      <w:bookmarkEnd w:id="0"/>
      <w:r>
        <w:rPr>
          <w:rFonts w:cs="Times New Roman" w:ascii="Times New Roman" w:hAnsi="Times New Roman"/>
          <w:sz w:val="20"/>
          <w:szCs w:val="20"/>
        </w:rPr>
        <w:t>(4) Zakoupením parkovací karty vzniká jejímu držiteli pouze možnost parkování ve vymezené oblasti, nikoliv nárok na parkovací místo.</w:t>
      </w:r>
    </w:p>
    <w:p>
      <w:pPr>
        <w:pStyle w:val="Normal"/>
        <w:bidi w:val="0"/>
        <w:spacing w:lineRule="auto" w:line="240" w:before="57" w:after="0"/>
        <w:ind w:firstLine="283" w:end="0"/>
        <w:jc w:val="both"/>
        <w:rPr/>
      </w:pPr>
      <w:r>
        <w:rPr>
          <w:rFonts w:cs="Times New Roman" w:ascii="Times New Roman" w:hAnsi="Times New Roman"/>
          <w:sz w:val="20"/>
          <w:szCs w:val="20"/>
        </w:rPr>
        <w:t>(5) Parkovací kartu vydává Městský úřad Sobotka na základě písemné žádo</w:t>
      </w:r>
      <w:r>
        <w:rPr>
          <w:rFonts w:cs="Times New Roman" w:ascii="Times New Roman" w:hAnsi="Times New Roman"/>
          <w:color w:val="000000"/>
          <w:sz w:val="20"/>
          <w:szCs w:val="20"/>
        </w:rPr>
        <w:t>sti a po předložení občanského průkazu a osvědčení o registraci vozidla, případně jiného dokladů prokazujícího sídlo společnosti, sídlo provozovny nebo vlastnictví nemovitosti ve vymezené oblasti, nelze-li tyto skutečnosti zjistit z veřejných informačních zdrojů. N</w:t>
      </w:r>
      <w:r>
        <w:rPr>
          <w:rFonts w:cs="Times New Roman" w:ascii="Times New Roman" w:hAnsi="Times New Roman"/>
          <w:sz w:val="20"/>
          <w:szCs w:val="20"/>
        </w:rPr>
        <w:t>a vydání parkovací karty není právní nárok, před vydáním musí být posuzovány jiné možnosti stání vozidla.</w:t>
      </w:r>
    </w:p>
    <w:p>
      <w:pPr>
        <w:pStyle w:val="Normal"/>
        <w:bidi w:val="0"/>
        <w:spacing w:lineRule="auto" w:line="240" w:before="57" w:after="0"/>
        <w:ind w:firstLine="283" w:end="0"/>
        <w:jc w:val="both"/>
        <w:rPr/>
      </w:pPr>
      <w:r>
        <w:rPr>
          <w:rFonts w:cs="Times New Roman" w:ascii="Times New Roman" w:hAnsi="Times New Roman"/>
          <w:sz w:val="20"/>
          <w:szCs w:val="20"/>
        </w:rPr>
        <w:t xml:space="preserve">(6) Parkovací karty jsou vydávány na dobu vyznačenou na čelní straně této karty, avšak nejdéle </w:t>
      </w:r>
      <w:r>
        <w:rPr>
          <w:rFonts w:cs="Times New Roman" w:ascii="Times New Roman" w:hAnsi="Times New Roman"/>
          <w:sz w:val="20"/>
          <w:szCs w:val="20"/>
          <w:u w:val="none"/>
        </w:rPr>
        <w:t>na dobu 12 měsíců ode dne vydání. To neplatí pro parkovací karty typu C, které jsou vydávány na dobu neurčitou.</w:t>
      </w:r>
      <w:r>
        <w:rPr>
          <w:rFonts w:cs="Times New Roman" w:ascii="Times New Roman" w:hAnsi="Times New Roman"/>
          <w:sz w:val="20"/>
          <w:szCs w:val="20"/>
        </w:rPr>
        <w:t xml:space="preserve"> Držitel parkovací karty odpovídá za její případné zneužití a v případě ztráty musí toto neprodleně nahlásit Městskému úřadu Sobotka. Podmínkou vydání parkovací karty na další období je vrácení předchozí parkovací karty.</w:t>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Čl. VI</w:t>
      </w:r>
    </w:p>
    <w:p>
      <w:pPr>
        <w:pStyle w:val="Normal"/>
        <w:bidi w:val="0"/>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Závěrečná ustanovení</w:t>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t>(1) Kontrolu dodržování tohoto nařízení města provádí Policie ČR a město Sobotka.</w:t>
      </w:r>
    </w:p>
    <w:p>
      <w:pPr>
        <w:pStyle w:val="Normal"/>
        <w:bidi w:val="0"/>
        <w:spacing w:lineRule="auto" w:line="240" w:before="57" w:after="0"/>
        <w:ind w:firstLine="283" w:end="0"/>
        <w:jc w:val="both"/>
        <w:rPr>
          <w:rFonts w:ascii="Times New Roman" w:hAnsi="Times New Roman" w:cs="Times New Roman"/>
          <w:sz w:val="20"/>
          <w:szCs w:val="20"/>
        </w:rPr>
      </w:pPr>
      <w:r>
        <w:rPr>
          <w:rFonts w:cs="Times New Roman" w:ascii="Times New Roman" w:hAnsi="Times New Roman"/>
          <w:sz w:val="20"/>
          <w:szCs w:val="20"/>
        </w:rPr>
        <w:t>(2) Porušení tohoto nařízení se postihuje podle zvláštních právních předpisů.</w:t>
      </w:r>
    </w:p>
    <w:p>
      <w:pPr>
        <w:pStyle w:val="Normal"/>
        <w:bidi w:val="0"/>
        <w:spacing w:lineRule="auto" w:line="240" w:before="57" w:after="0"/>
        <w:ind w:firstLine="283" w:end="0"/>
        <w:jc w:val="both"/>
        <w:rPr/>
      </w:pPr>
      <w:r>
        <w:rPr>
          <w:rFonts w:cs="Times New Roman" w:ascii="Times New Roman" w:hAnsi="Times New Roman"/>
          <w:sz w:val="20"/>
          <w:szCs w:val="20"/>
        </w:rPr>
        <w:t>(3) Toto nařízení nabývá účinnosti dne 12. června 2017.</w:t>
      </w:r>
    </w:p>
    <w:p>
      <w:pPr>
        <w:pStyle w:val="BodyText"/>
        <w:bidi w:val="0"/>
        <w:spacing w:lineRule="auto" w:line="240" w:before="0" w:after="0"/>
        <w:jc w:val="both"/>
        <w:rPr/>
      </w:pPr>
      <w:r>
        <w:rPr/>
      </w:r>
    </w:p>
    <w:p>
      <w:pPr>
        <w:pStyle w:val="Normal"/>
        <w:overflowPunct w:val="false"/>
        <w:bidi w:val="0"/>
        <w:spacing w:lineRule="auto" w:line="240" w:before="0" w:after="0"/>
        <w:ind w:firstLine="397" w:end="0"/>
        <w:jc w:val="center"/>
        <w:rPr>
          <w:rFonts w:ascii="Times New Roman" w:hAnsi="Times New Roman" w:cs="Times New Roman"/>
          <w:i/>
          <w:i/>
          <w:sz w:val="20"/>
          <w:szCs w:val="20"/>
        </w:rPr>
      </w:pPr>
      <w:r>
        <w:rPr>
          <w:rFonts w:cs="Times New Roman" w:ascii="Times New Roman" w:hAnsi="Times New Roman"/>
          <w:i/>
          <w:sz w:val="20"/>
          <w:szCs w:val="20"/>
        </w:rPr>
      </w:r>
    </w:p>
    <w:p>
      <w:pPr>
        <w:pStyle w:val="Normal"/>
        <w:overflowPunct w:val="false"/>
        <w:bidi w:val="0"/>
        <w:spacing w:lineRule="auto" w:line="240" w:before="0" w:after="0"/>
        <w:ind w:firstLine="397" w:end="0"/>
        <w:jc w:val="center"/>
        <w:rPr>
          <w:rFonts w:ascii="Times New Roman" w:hAnsi="Times New Roman" w:cs="Times New Roman"/>
          <w:i/>
          <w:i/>
          <w:sz w:val="20"/>
          <w:szCs w:val="20"/>
        </w:rPr>
      </w:pPr>
      <w:r>
        <w:rPr>
          <w:rFonts w:cs="Times New Roman" w:ascii="Times New Roman" w:hAnsi="Times New Roman"/>
          <w:i/>
          <w:sz w:val="20"/>
          <w:szCs w:val="20"/>
        </w:rPr>
      </w:r>
    </w:p>
    <w:p>
      <w:pPr>
        <w:pStyle w:val="Normal"/>
        <w:overflowPunct w:val="false"/>
        <w:bidi w:val="0"/>
        <w:spacing w:lineRule="auto" w:line="240" w:before="0" w:after="0"/>
        <w:ind w:firstLine="397" w:end="0"/>
        <w:jc w:val="center"/>
        <w:rPr>
          <w:rFonts w:ascii="Times New Roman" w:hAnsi="Times New Roman" w:cs="Times New Roman"/>
          <w:i/>
          <w:i/>
          <w:sz w:val="20"/>
          <w:szCs w:val="20"/>
        </w:rPr>
      </w:pPr>
      <w:r>
        <w:rPr>
          <w:rFonts w:cs="Times New Roman" w:ascii="Times New Roman" w:hAnsi="Times New Roman"/>
          <w:i/>
          <w:sz w:val="20"/>
          <w:szCs w:val="20"/>
        </w:rPr>
      </w:r>
    </w:p>
    <w:p>
      <w:pPr>
        <w:pStyle w:val="BodyText"/>
        <w:bidi w:val="0"/>
        <w:spacing w:lineRule="auto" w:line="240" w:before="0" w:after="0"/>
        <w:jc w:val="both"/>
        <w:rPr>
          <w:rFonts w:ascii="Times New Roman" w:hAnsi="Times New Roman" w:eastAsia="Tahoma" w:cs="Times New Roman"/>
          <w:color w:val="auto"/>
          <w:kern w:val="2"/>
          <w:sz w:val="20"/>
          <w:szCs w:val="20"/>
          <w:lang w:val="cs-CZ" w:eastAsia="zxx" w:bidi="zxx"/>
        </w:rPr>
      </w:pPr>
      <w:r>
        <w:rPr>
          <w:rFonts w:eastAsia="Tahoma" w:cs="Times New Roman" w:ascii="Times New Roman" w:hAnsi="Times New Roman"/>
          <w:color w:val="auto"/>
          <w:kern w:val="2"/>
          <w:sz w:val="20"/>
          <w:szCs w:val="20"/>
          <w:lang w:val="cs-CZ" w:eastAsia="zxx" w:bidi="zxx"/>
        </w:rPr>
        <w:t xml:space="preserve">Ing. Lubor Jenček  </w:t>
        <w:tab/>
        <w:t xml:space="preserve">                 Bc. Jan Janatka</w:t>
      </w:r>
    </w:p>
    <w:p>
      <w:pPr>
        <w:pStyle w:val="BodyText"/>
        <w:bidi w:val="0"/>
        <w:spacing w:lineRule="auto" w:line="240" w:before="0" w:after="0"/>
        <w:jc w:val="both"/>
        <w:rPr/>
      </w:pPr>
      <w:r>
        <w:rPr>
          <w:rFonts w:eastAsia="Times New Roman" w:cs="Times New Roman" w:ascii="Times New Roman" w:hAnsi="Times New Roman"/>
          <w:color w:val="auto"/>
          <w:kern w:val="2"/>
          <w:sz w:val="20"/>
          <w:szCs w:val="20"/>
          <w:lang w:val="cs-CZ" w:eastAsia="zxx" w:bidi="zxx"/>
        </w:rPr>
        <w:t xml:space="preserve">       </w:t>
      </w:r>
      <w:r>
        <w:rPr>
          <w:rFonts w:eastAsia="Tahoma" w:cs="Times New Roman" w:ascii="Times New Roman" w:hAnsi="Times New Roman"/>
          <w:color w:val="auto"/>
          <w:kern w:val="2"/>
          <w:sz w:val="20"/>
          <w:szCs w:val="20"/>
          <w:lang w:val="cs-CZ" w:eastAsia="zxx" w:bidi="zxx"/>
        </w:rPr>
        <w:t xml:space="preserve">starosta    </w:t>
        <w:tab/>
        <w:tab/>
        <w:t xml:space="preserve">                   místostarosta</w:t>
      </w:r>
    </w:p>
    <w:p>
      <w:pPr>
        <w:pStyle w:val="BodyText"/>
        <w:bidi w:val="0"/>
        <w:spacing w:lineRule="auto" w:line="240" w:before="0" w:after="0"/>
        <w:jc w:val="both"/>
        <w:rPr/>
      </w:pPr>
      <w:r>
        <w:rPr/>
      </w:r>
    </w:p>
    <w:p>
      <w:pPr>
        <w:pStyle w:val="BodyText"/>
        <w:bidi w:val="0"/>
        <w:spacing w:lineRule="auto" w:line="240" w:before="0" w:after="0"/>
        <w:jc w:val="both"/>
        <w:rPr/>
      </w:pPr>
      <w:r>
        <w:rPr/>
      </w:r>
    </w:p>
    <w:p>
      <w:pPr>
        <w:pStyle w:val="BodyText"/>
        <w:bidi w:val="0"/>
        <w:spacing w:lineRule="auto" w:line="240" w:before="0" w:after="0"/>
        <w:jc w:val="both"/>
        <w:rPr/>
      </w:pPr>
      <w:r>
        <w:rPr/>
      </w:r>
    </w:p>
    <w:p>
      <w:pPr>
        <w:pStyle w:val="BodyText"/>
        <w:bidi w:val="0"/>
        <w:spacing w:lineRule="auto" w:line="240" w:before="0" w:after="0"/>
        <w:jc w:val="both"/>
        <w:rPr/>
      </w:pPr>
      <w:r>
        <w:rPr/>
      </w:r>
    </w:p>
    <w:p>
      <w:pPr>
        <w:pStyle w:val="BodyText"/>
        <w:bidi w:val="0"/>
        <w:spacing w:lineRule="auto" w:line="240" w:before="0" w:after="0"/>
        <w:jc w:val="both"/>
        <w:rPr/>
      </w:pPr>
      <w:r>
        <w:rPr/>
      </w:r>
    </w:p>
    <w:p>
      <w:pPr>
        <w:pStyle w:val="BodyText"/>
        <w:bidi w:val="0"/>
        <w:spacing w:lineRule="auto" w:line="240" w:before="0" w:after="0"/>
        <w:jc w:val="both"/>
        <w:rPr/>
      </w:pPr>
      <w:r>
        <w:rPr/>
      </w:r>
    </w:p>
    <w:p>
      <w:pPr>
        <w:pStyle w:val="BodyText"/>
        <w:bidi w:val="0"/>
        <w:spacing w:lineRule="auto" w:line="240" w:before="0" w:after="0"/>
        <w:jc w:val="both"/>
        <w:rPr/>
      </w:pPr>
      <w:r>
        <w:rPr>
          <w:rFonts w:eastAsia="Tahoma" w:cs="Times New Roman" w:ascii="Times New Roman" w:hAnsi="Times New Roman"/>
          <w:color w:val="auto"/>
          <w:kern w:val="2"/>
          <w:sz w:val="20"/>
          <w:szCs w:val="20"/>
          <w:lang w:val="cs-CZ" w:eastAsia="zxx" w:bidi="zxx"/>
        </w:rPr>
        <w:t>Vyvěšeno dne 25. 5. 2017</w:t>
      </w:r>
    </w:p>
    <w:p>
      <w:pPr>
        <w:pStyle w:val="BodyText"/>
        <w:bidi w:val="0"/>
        <w:spacing w:lineRule="auto" w:line="240" w:before="0" w:after="0"/>
        <w:jc w:val="both"/>
        <w:rPr>
          <w:rFonts w:ascii="Times New Roman" w:hAnsi="Times New Roman" w:eastAsia="Tahoma" w:cs="Times New Roman"/>
          <w:color w:val="auto"/>
          <w:kern w:val="2"/>
          <w:sz w:val="20"/>
          <w:szCs w:val="20"/>
          <w:lang w:val="cs-CZ" w:eastAsia="zxx" w:bidi="zxx"/>
        </w:rPr>
      </w:pPr>
      <w:r>
        <w:rPr>
          <w:rFonts w:eastAsia="Tahoma" w:cs="Times New Roman" w:ascii="Times New Roman" w:hAnsi="Times New Roman"/>
          <w:color w:val="auto"/>
          <w:kern w:val="2"/>
          <w:sz w:val="20"/>
          <w:szCs w:val="20"/>
          <w:lang w:val="cs-CZ" w:eastAsia="zxx" w:bidi="zxx"/>
        </w:rPr>
      </w:r>
    </w:p>
    <w:p>
      <w:pPr>
        <w:pStyle w:val="BodyText"/>
        <w:bidi w:val="0"/>
        <w:spacing w:lineRule="auto" w:line="240" w:before="0" w:after="0"/>
        <w:jc w:val="both"/>
        <w:rPr>
          <w:rFonts w:ascii="Times New Roman" w:hAnsi="Times New Roman" w:eastAsia="Tahoma" w:cs="Times New Roman"/>
          <w:color w:val="auto"/>
          <w:kern w:val="2"/>
          <w:sz w:val="20"/>
          <w:szCs w:val="20"/>
          <w:lang w:val="cs-CZ" w:eastAsia="zxx" w:bidi="zxx"/>
        </w:rPr>
      </w:pPr>
      <w:r>
        <w:rPr>
          <w:rFonts w:eastAsia="Tahoma" w:cs="Times New Roman" w:ascii="Times New Roman" w:hAnsi="Times New Roman"/>
          <w:color w:val="auto"/>
          <w:kern w:val="2"/>
          <w:sz w:val="20"/>
          <w:szCs w:val="20"/>
          <w:lang w:val="cs-CZ" w:eastAsia="zxx" w:bidi="zxx"/>
        </w:rPr>
        <w:t>Sejmuto dne ………………..</w:t>
      </w:r>
    </w:p>
    <w:p>
      <w:pPr>
        <w:pStyle w:val="BodyText"/>
        <w:bidi w:val="0"/>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sectPr>
      <w:footnotePr>
        <w:numFmt w:val="decimal"/>
      </w:footnotePr>
      <w:type w:val="continuous"/>
      <w:pgSz w:w="11906" w:h="16838"/>
      <w:pgMar w:left="1417" w:right="1134" w:gutter="0" w:header="0" w:top="1134" w:footer="567" w:bottom="1133"/>
      <w:cols w:num="2" w:space="566"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Symbol">
    <w:charset w:val="01"/>
    <w:family w:val="roman"/>
    <w:pitch w:val="variable"/>
  </w:font>
  <w:font w:name="Courier New">
    <w:charset w:val="ee" w:characterSet="windows-1250"/>
    <w:family w:val="modern"/>
    <w:pitch w:val="default"/>
  </w:font>
  <w:font w:name="Wingdings">
    <w:charset w:val="02"/>
    <w:family w:val="auto"/>
    <w:pitch w:val="variable"/>
  </w:font>
  <w:font w:name="Arial">
    <w:charset w:val="ee" w:characterSet="windows-125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 ARABIC </w:instrText>
    </w:r>
    <w:r>
      <w:rPr>
        <w:sz w:val="20"/>
        <w:szCs w:val="20"/>
      </w:rPr>
      <w:fldChar w:fldCharType="separate"/>
    </w:r>
    <w:r>
      <w:rPr>
        <w:sz w:val="20"/>
        <w:szCs w:val="20"/>
      </w:rPr>
      <w:t>2</w:t>
    </w:r>
    <w:r>
      <w:rPr>
        <w:sz w:val="20"/>
        <w:szCs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jc w:val="both"/>
        <w:rPr/>
      </w:pPr>
      <w:r>
        <w:rPr>
          <w:rStyle w:val="Znakypropoznmkupodarou"/>
        </w:rPr>
        <w:footnoteRef/>
      </w:r>
      <w:r>
        <w:rPr>
          <w:i/>
          <w:iCs/>
          <w:sz w:val="20"/>
          <w:szCs w:val="20"/>
        </w:rPr>
        <w:tab/>
        <w:t xml:space="preserve"> zákon č. 526/1990 Sb., o cenách, v platném znění</w:t>
      </w:r>
    </w:p>
  </w:footnote>
  <w:footnote w:id="3">
    <w:p>
      <w:pPr>
        <w:pStyle w:val="Normal"/>
        <w:jc w:val="both"/>
        <w:rPr/>
      </w:pPr>
      <w:r>
        <w:rPr>
          <w:rStyle w:val="Znakypropoznmkupodarou"/>
        </w:rPr>
        <w:footnoteRef/>
      </w:r>
      <w:r>
        <w:rPr>
          <w:sz w:val="20"/>
          <w:szCs w:val="20"/>
        </w:rPr>
        <w:tab/>
        <w:t xml:space="preserve"> </w:t>
      </w:r>
      <w:r>
        <w:rPr>
          <w:rStyle w:val="Znakypropoznmkupodarou"/>
          <w:rFonts w:eastAsia="Times New Roman" w:cs="Times New Roman" w:ascii="Times New Roman" w:hAnsi="Times New Roman"/>
          <w:i/>
          <w:iCs/>
          <w:position w:val="0"/>
          <w:sz w:val="20"/>
          <w:sz w:val="20"/>
          <w:szCs w:val="20"/>
          <w:vertAlign w:val="baseline"/>
        </w:rPr>
        <w:t>z</w:t>
      </w:r>
      <w:r>
        <w:rPr>
          <w:rStyle w:val="Znakypropoznmkupodarou"/>
          <w:rFonts w:eastAsia="Times New Roman" w:cs="Times New Roman" w:ascii="Times New Roman" w:hAnsi="Times New Roman"/>
          <w:i/>
          <w:iCs/>
          <w:color w:val="000000"/>
          <w:position w:val="0"/>
          <w:sz w:val="20"/>
          <w:sz w:val="20"/>
          <w:szCs w:val="20"/>
          <w:vertAlign w:val="baseline"/>
        </w:rPr>
        <w:t>ákon č. 455/1991 Sb., o živnostenském podnikání (živnostenský zákon), ve znění pozdějších předpisů.</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0"/>
        </w:tabs>
        <w:ind w:start="720" w:hanging="360"/>
      </w:pPr>
      <w:rPr>
        <w:smallCaps w:val="false"/>
        <w:caps w:val="false"/>
        <w:outline w:val="false"/>
        <w:dstrike w:val="false"/>
        <w:strike w:val="false"/>
        <w:vertAlign w:val="baseline"/>
        <w:position w:val="0"/>
        <w:sz w:val="22"/>
        <w:sz w:val="22"/>
        <w:spacing w:val="0"/>
        <w:i w:val="false"/>
        <w:shadow w:val="false"/>
        <w:u w:val="none"/>
        <w:b w:val="false"/>
        <w:kern w:val="2"/>
        <w:iCs w:val="false"/>
        <w:bCs w:val="false"/>
        <w:em w:val="none"/>
        <w:vanish w:val="false"/>
        <w:rFonts w:ascii="Symbol" w:hAnsi="Symbol" w:cs="Times New Roman"/>
        <w:lang w:val="cs-CZ" w:bidi="cs-CZ"/>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cs-CZ" w:eastAsia="zh-CN" w:bidi="ar-SA"/>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BodyText"/>
    <w:qFormat/>
    <w:pPr>
      <w:numPr>
        <w:ilvl w:val="1"/>
        <w:numId w:val="1"/>
      </w:numPr>
      <w:spacing w:before="280" w:after="280"/>
      <w:outlineLvl w:val="1"/>
    </w:pPr>
    <w:rPr>
      <w:b/>
      <w:bCs/>
      <w:sz w:val="36"/>
      <w:szCs w:val="36"/>
    </w:rPr>
  </w:style>
  <w:style w:type="paragraph" w:styleId="Heading3">
    <w:name w:val="Heading 3"/>
    <w:basedOn w:val="Normal"/>
    <w:next w:val="BodyText"/>
    <w:qFormat/>
    <w:pPr>
      <w:numPr>
        <w:ilvl w:val="2"/>
        <w:numId w:val="1"/>
      </w:numPr>
      <w:spacing w:before="280" w:after="280"/>
      <w:outlineLvl w:val="2"/>
    </w:pPr>
    <w:rPr>
      <w:b/>
      <w:bCs/>
      <w:sz w:val="27"/>
      <w:szCs w:val="27"/>
    </w:rPr>
  </w:style>
  <w:style w:type="character" w:styleId="WW8Num2z0">
    <w:name w:val="WW8Num2z0"/>
    <w:qFormat/>
    <w:rPr>
      <w:rFonts w:ascii="Symbol" w:hAnsi="Symbol" w:cs="Times New Roman"/>
      <w:b w:val="false"/>
      <w:bCs w:val="false"/>
      <w:i w:val="false"/>
      <w:iCs w:val="false"/>
      <w:caps w:val="false"/>
      <w:smallCaps w:val="false"/>
      <w:strike w:val="false"/>
      <w:dstrike w:val="false"/>
      <w:outline w:val="false"/>
      <w:shadow w:val="false"/>
      <w:vanish w:val="false"/>
      <w:spacing w:val="0"/>
      <w:kern w:val="2"/>
      <w:position w:val="0"/>
      <w:sz w:val="22"/>
      <w:sz w:val="22"/>
      <w:u w:val="none"/>
      <w:vertAlign w:val="baseline"/>
      <w:em w:val="none"/>
      <w:lang w:val="cs-CZ" w:bidi="cs-CZ"/>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Times New Roman"/>
      <w:b w:val="false"/>
      <w:bCs w:val="false"/>
      <w:i w:val="false"/>
      <w:iCs w:val="false"/>
      <w:caps w:val="false"/>
      <w:smallCaps w:val="false"/>
      <w:strike w:val="false"/>
      <w:dstrike w:val="false"/>
      <w:outline w:val="false"/>
      <w:shadow w:val="false"/>
      <w:vanish w:val="false"/>
      <w:spacing w:val="0"/>
      <w:kern w:val="2"/>
      <w:position w:val="0"/>
      <w:sz w:val="22"/>
      <w:sz w:val="22"/>
      <w:u w:val="none"/>
      <w:vertAlign w:val="baseline"/>
      <w:em w:val="none"/>
      <w:lang w:val="cs-CZ" w:bidi="cs-CZ"/>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Standardnpsmoodstavce">
    <w:name w:val="Standardní písmo odstavce"/>
    <w:qFormat/>
    <w:rPr/>
  </w:style>
  <w:style w:type="character" w:styleId="Strong">
    <w:name w:val="Strong"/>
    <w:basedOn w:val="Standardnpsmoodstavce"/>
    <w:qFormat/>
    <w:rPr>
      <w:b/>
      <w:bCs/>
    </w:rPr>
  </w:style>
  <w:style w:type="character" w:styleId="Hyperlink">
    <w:name w:val="Hyperlink"/>
    <w:basedOn w:val="Standardnpsmoodstavce"/>
    <w:rPr>
      <w:color w:val="0000FF"/>
      <w:u w:val="single"/>
    </w:rPr>
  </w:style>
  <w:style w:type="character" w:styleId="Zodpovida">
    <w:name w:val="zodpovida"/>
    <w:basedOn w:val="Standardnpsmoodstavce"/>
    <w:qFormat/>
    <w:rPr/>
  </w:style>
  <w:style w:type="character" w:styleId="In2">
    <w:name w:val="in2"/>
    <w:basedOn w:val="Standardnpsmoodstavce"/>
    <w:qFormat/>
    <w:rPr/>
  </w:style>
  <w:style w:type="character" w:styleId="Znakypropoznmkupodarou">
    <w:name w:val="Znaky pro poznámku pod čarou"/>
    <w:qFormat/>
    <w:rPr>
      <w:vertAlign w:val="superscript"/>
    </w:rPr>
  </w:style>
  <w:style w:type="character" w:styleId="WW8Num4z0">
    <w:name w:val="WW8Num4z0"/>
    <w:qFormat/>
    <w:rPr>
      <w:i w:val="false"/>
      <w:color w:val="000000"/>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7z0">
    <w:name w:val="WW8Num7z0"/>
    <w:qFormat/>
    <w:rPr>
      <w:rFonts w:ascii="Symbol" w:hAnsi="Symbol" w:cs="Times New Roman"/>
      <w:b w:val="false"/>
      <w:bCs w:val="false"/>
      <w:i w:val="false"/>
      <w:iCs w:val="false"/>
      <w:caps w:val="false"/>
      <w:smallCaps w:val="false"/>
      <w:strike w:val="false"/>
      <w:dstrike w:val="false"/>
      <w:outline w:val="false"/>
      <w:shadow w:val="false"/>
      <w:vanish w:val="false"/>
      <w:spacing w:val="0"/>
      <w:kern w:val="2"/>
      <w:position w:val="0"/>
      <w:sz w:val="22"/>
      <w:sz w:val="22"/>
      <w:u w:val="none"/>
      <w:vertAlign w:val="baseline"/>
      <w:em w:val="none"/>
      <w:lang w:val="cs-CZ" w:bidi="cs-CZ"/>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FootnoteReference">
    <w:name w:val="Footnote Reference"/>
    <w:rPr>
      <w:vertAlign w:val="superscript"/>
    </w:rPr>
  </w:style>
  <w:style w:type="character" w:styleId="WW8Num11z0">
    <w:name w:val="WW8Num11z0"/>
    <w:qFormat/>
    <w:rPr>
      <w:rFonts w:cs="Arial"/>
      <w:i w:val="false"/>
      <w:color w:val="000000"/>
      <w:szCs w:val="22"/>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WW8Num8z0">
    <w:name w:val="WW8Num8z0"/>
    <w:qFormat/>
    <w:rPr>
      <w:i w:val="false"/>
      <w:color w:val="00000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cs="Arial"/>
      <w:i w:val="false"/>
      <w:color w:val="000000"/>
      <w:szCs w:val="22"/>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i w:val="false"/>
      <w:strike w:val="false"/>
      <w:dstrike w:val="false"/>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EndnoteReference">
    <w:name w:val="Endnote Reference"/>
    <w:rPr>
      <w:vertAlign w:val="superscript"/>
    </w:rPr>
  </w:style>
  <w:style w:type="paragraph" w:styleId="Nadpis">
    <w:name w:val="Nadpis"/>
    <w:basedOn w:val="Normal"/>
    <w:next w:val="BodyText"/>
    <w:qFormat/>
    <w:pPr>
      <w:spacing w:before="280" w:after="280"/>
    </w:pPr>
    <w:rPr/>
  </w:style>
  <w:style w:type="paragraph" w:styleId="BodyText">
    <w:name w:val="Body Text"/>
    <w:basedOn w:val="Normal"/>
    <w:pPr>
      <w:spacing w:before="280" w:after="28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Zkladntextodsazen2">
    <w:name w:val="Základní text odsazený 2"/>
    <w:basedOn w:val="Normal"/>
    <w:qFormat/>
    <w:pPr>
      <w:spacing w:before="280" w:after="280"/>
    </w:pPr>
    <w:rPr/>
  </w:style>
  <w:style w:type="paragraph" w:styleId="Zkladntextodsazen3">
    <w:name w:val="Základní text odsazený 3"/>
    <w:basedOn w:val="Normal"/>
    <w:qFormat/>
    <w:pPr>
      <w:spacing w:before="280" w:after="280"/>
    </w:pPr>
    <w:rPr/>
  </w:style>
  <w:style w:type="paragraph" w:styleId="Bodytext2">
    <w:name w:val="bodytext2"/>
    <w:basedOn w:val="Normal"/>
    <w:qFormat/>
    <w:pPr>
      <w:spacing w:before="280" w:after="280"/>
    </w:pPr>
    <w:rPr/>
  </w:style>
  <w:style w:type="paragraph" w:styleId="Normlnweb">
    <w:name w:val="Normální (web)"/>
    <w:basedOn w:val="Normal"/>
    <w:qFormat/>
    <w:pPr>
      <w:spacing w:before="280" w:after="280"/>
    </w:pPr>
    <w:rPr/>
  </w:style>
  <w:style w:type="paragraph" w:styleId="Import1">
    <w:name w:val="Import 1"/>
    <w:basedOn w:val="Normal"/>
    <w:qFormat/>
    <w:pPr>
      <w:suppressAutoHyphens w:val="false"/>
      <w:spacing w:lineRule="auto" w:line="288"/>
    </w:pPr>
    <w:rPr>
      <w:rFonts w:eastAsia="Times New Roman"/>
    </w:rPr>
  </w:style>
  <w:style w:type="paragraph" w:styleId="FootnoteText">
    <w:name w:val="Footnote Text"/>
    <w:basedOn w:val="Normal"/>
    <w:pPr>
      <w:suppressLineNumbers/>
      <w:ind w:hanging="339" w:start="339" w:end="0"/>
    </w:pPr>
    <w:rPr>
      <w:sz w:val="20"/>
      <w:szCs w:val="20"/>
    </w:rPr>
  </w:style>
  <w:style w:type="paragraph" w:styleId="Styl2">
    <w:name w:val="Styl2"/>
    <w:basedOn w:val="Normal"/>
    <w:qFormat/>
    <w:pPr>
      <w:numPr>
        <w:ilvl w:val="0"/>
        <w:numId w:val="2"/>
      </w:numPr>
      <w:tabs>
        <w:tab w:val="clear" w:pos="708"/>
        <w:tab w:val="left" w:pos="709" w:leader="none"/>
      </w:tabs>
      <w:spacing w:lineRule="auto" w:line="288"/>
    </w:pPr>
    <w:rPr/>
  </w:style>
  <w:style w:type="paragraph" w:styleId="Styl1">
    <w:name w:val="Styl1"/>
    <w:basedOn w:val="Normal"/>
    <w:qFormat/>
    <w:pPr>
      <w:ind w:hanging="0" w:start="714" w:end="0"/>
      <w:jc w:val="both"/>
    </w:pPr>
    <w:rPr>
      <w:rFonts w:ascii="Arial" w:hAnsi="Arial" w:cs="Arial"/>
      <w:b/>
      <w:bCs/>
      <w:sz w:val="22"/>
      <w:szCs w:val="22"/>
    </w:rPr>
  </w:style>
  <w:style w:type="paragraph" w:styleId="Zhlavazpat">
    <w:name w:val="Záhlaví a zápatí"/>
    <w:basedOn w:val="Normal"/>
    <w:qFormat/>
    <w:pPr>
      <w:suppressLineNumbers/>
      <w:tabs>
        <w:tab w:val="clear" w:pos="708"/>
        <w:tab w:val="center" w:pos="4819" w:leader="none"/>
        <w:tab w:val="right" w:pos="9638" w:leader="none"/>
      </w:tabs>
    </w:pPr>
    <w:rPr/>
  </w:style>
  <w:style w:type="paragraph" w:styleId="Footer">
    <w:name w:val="Footer"/>
    <w:basedOn w:val="Normal"/>
    <w:pPr>
      <w:suppressLineNumbers/>
      <w:tabs>
        <w:tab w:val="clear" w:pos="708"/>
        <w:tab w:val="center" w:pos="4677" w:leader="none"/>
        <w:tab w:val="right" w:pos="9355"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1606</TotalTime>
  <Application>LibreOffice/7.6.1.2$Windows_X86_64 LibreOffice_project/f5defcebd022c5bc36bbb79be232cb6926d8f674</Application>
  <AppVersion>15.0000</AppVersion>
  <Pages>2</Pages>
  <Words>840</Words>
  <Characters>4695</Characters>
  <CharactersWithSpaces>5546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2013-11-07T08:29:00Z</dcterms:created>
  <dc:creator>Martin Duczynski</dc:creator>
  <dc:description/>
  <dc:language>cs-CZ</dc:language>
  <cp:lastModifiedBy/>
  <cp:lastPrinted>2013-10-31T15:59:00Z</cp:lastPrinted>
  <dcterms:modified xsi:type="dcterms:W3CDTF">2017-05-25T12:56:13Z</dcterms:modified>
  <cp:revision>25</cp:revision>
  <dc:subject/>
  <dc:title>Nařízení </dc:title>
</cp:coreProperties>
</file>