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76C" w:rsidRPr="00E91C08" w:rsidRDefault="0093376C" w:rsidP="00E91C08">
      <w:pPr>
        <w:tabs>
          <w:tab w:val="left" w:pos="4537"/>
        </w:tabs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:lang w:eastAsia="cs-CZ"/>
        </w:rPr>
      </w:pPr>
      <w:r w:rsidRPr="00E91C08">
        <w:rPr>
          <w:rFonts w:ascii="Arial" w:hAnsi="Arial" w:cs="Arial"/>
          <w:b/>
          <w:bCs/>
          <w:color w:val="000000"/>
          <w:kern w:val="0"/>
          <w:sz w:val="28"/>
          <w:szCs w:val="28"/>
          <w:lang w:eastAsia="cs-CZ"/>
        </w:rPr>
        <w:t>Město Vrchlabí</w:t>
      </w:r>
    </w:p>
    <w:p w:rsidR="0093376C" w:rsidRPr="00E91C08" w:rsidRDefault="0093376C" w:rsidP="00E91C08">
      <w:pPr>
        <w:tabs>
          <w:tab w:val="left" w:pos="4537"/>
        </w:tabs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:lang w:eastAsia="cs-CZ"/>
        </w:rPr>
      </w:pPr>
      <w:r w:rsidRPr="00E91C08">
        <w:rPr>
          <w:rFonts w:ascii="Arial" w:hAnsi="Arial" w:cs="Arial"/>
          <w:b/>
          <w:bCs/>
          <w:color w:val="000000"/>
          <w:kern w:val="0"/>
          <w:sz w:val="28"/>
          <w:szCs w:val="28"/>
          <w:lang w:eastAsia="cs-CZ"/>
        </w:rPr>
        <w:t>Zastupitelstvo města</w:t>
      </w:r>
    </w:p>
    <w:p w:rsidR="0093376C" w:rsidRPr="00E91C08" w:rsidRDefault="0093376C" w:rsidP="005125DC">
      <w:pPr>
        <w:tabs>
          <w:tab w:val="left" w:pos="4537"/>
        </w:tabs>
        <w:spacing w:after="120" w:line="240" w:lineRule="auto"/>
        <w:jc w:val="center"/>
        <w:rPr>
          <w:rFonts w:ascii="Times New Roman" w:hAnsi="Times New Roman"/>
          <w:kern w:val="0"/>
          <w:sz w:val="24"/>
          <w:szCs w:val="24"/>
          <w:lang w:eastAsia="cs-CZ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51pt;height:63pt;visibility:visible">
            <v:imagedata r:id="rId7" o:title=""/>
          </v:shape>
        </w:pict>
      </w:r>
      <w:r w:rsidRPr="00E91C08">
        <w:rPr>
          <w:rFonts w:ascii="Times New Roman" w:hAnsi="Times New Roman"/>
          <w:kern w:val="0"/>
          <w:sz w:val="24"/>
          <w:szCs w:val="24"/>
          <w:lang w:eastAsia="cs-CZ"/>
        </w:rPr>
        <w:t> </w:t>
      </w:r>
    </w:p>
    <w:p w:rsidR="0093376C" w:rsidRPr="00E91C08" w:rsidRDefault="0093376C" w:rsidP="00E91C08">
      <w:pPr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:lang w:eastAsia="cs-CZ"/>
        </w:rPr>
      </w:pPr>
      <w:r w:rsidRPr="00E91C08">
        <w:rPr>
          <w:rFonts w:ascii="Arial" w:hAnsi="Arial" w:cs="Arial"/>
          <w:b/>
          <w:bCs/>
          <w:color w:val="000000"/>
          <w:kern w:val="0"/>
          <w:sz w:val="28"/>
          <w:szCs w:val="28"/>
          <w:lang w:eastAsia="cs-CZ"/>
        </w:rPr>
        <w:t xml:space="preserve">Obecně závazná vyhláška města Vrchlabí   </w:t>
      </w:r>
    </w:p>
    <w:p w:rsidR="0093376C" w:rsidRPr="00E91C08" w:rsidRDefault="0093376C" w:rsidP="00E91C08">
      <w:pPr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:lang w:eastAsia="cs-CZ"/>
        </w:rPr>
      </w:pPr>
      <w:r w:rsidRPr="00E91C08">
        <w:rPr>
          <w:rFonts w:ascii="Arial" w:hAnsi="Arial" w:cs="Arial"/>
          <w:b/>
          <w:bCs/>
          <w:color w:val="000000"/>
          <w:kern w:val="0"/>
          <w:sz w:val="28"/>
          <w:szCs w:val="28"/>
          <w:lang w:eastAsia="cs-CZ"/>
        </w:rPr>
        <w:t>o stanovení koeficientu sazby daně z nemovité věci</w:t>
      </w:r>
    </w:p>
    <w:p w:rsidR="0093376C" w:rsidRPr="007A247E" w:rsidRDefault="0093376C" w:rsidP="00E91C08">
      <w:pPr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  <w:lang w:eastAsia="cs-CZ"/>
        </w:rPr>
      </w:pPr>
      <w:r w:rsidRPr="00E91C08">
        <w:rPr>
          <w:rFonts w:ascii="Times New Roman" w:hAnsi="Times New Roman"/>
          <w:kern w:val="0"/>
          <w:sz w:val="24"/>
          <w:szCs w:val="24"/>
          <w:lang w:eastAsia="cs-CZ"/>
        </w:rPr>
        <w:t> </w:t>
      </w:r>
    </w:p>
    <w:p w:rsidR="0093376C" w:rsidRPr="007A247E" w:rsidRDefault="0093376C" w:rsidP="00E91C08">
      <w:pPr>
        <w:spacing w:after="0" w:line="240" w:lineRule="auto"/>
        <w:jc w:val="both"/>
        <w:rPr>
          <w:rFonts w:ascii="Arial" w:hAnsi="Arial" w:cs="Arial"/>
          <w:color w:val="000000"/>
          <w:kern w:val="0"/>
          <w:lang w:eastAsia="cs-CZ"/>
        </w:rPr>
      </w:pPr>
      <w:r w:rsidRPr="007A247E">
        <w:rPr>
          <w:rFonts w:ascii="Arial" w:hAnsi="Arial" w:cs="Arial"/>
          <w:color w:val="000000"/>
          <w:kern w:val="0"/>
          <w:lang w:eastAsia="cs-CZ"/>
        </w:rPr>
        <w:t>Zastupitelst</w:t>
      </w:r>
      <w:r>
        <w:rPr>
          <w:rFonts w:ascii="Arial" w:hAnsi="Arial" w:cs="Arial"/>
          <w:color w:val="000000"/>
          <w:kern w:val="0"/>
          <w:lang w:eastAsia="cs-CZ"/>
        </w:rPr>
        <w:t>vo města Vrchlabí se na svém 9. zasedání konaném dne 4.9.</w:t>
      </w:r>
      <w:r w:rsidRPr="007A247E">
        <w:rPr>
          <w:rFonts w:ascii="Arial" w:hAnsi="Arial" w:cs="Arial"/>
          <w:color w:val="000000"/>
          <w:kern w:val="0"/>
          <w:lang w:eastAsia="cs-CZ"/>
        </w:rPr>
        <w:t>2024 usneslo vydat</w:t>
      </w:r>
      <w:r>
        <w:rPr>
          <w:rFonts w:ascii="Arial" w:hAnsi="Arial" w:cs="Arial"/>
          <w:color w:val="000000"/>
          <w:kern w:val="0"/>
          <w:lang w:eastAsia="cs-CZ"/>
        </w:rPr>
        <w:t xml:space="preserve"> usnesením č. 151/9/ZM/2024,</w:t>
      </w:r>
      <w:r w:rsidRPr="007A247E">
        <w:rPr>
          <w:rFonts w:ascii="Arial" w:hAnsi="Arial" w:cs="Arial"/>
          <w:color w:val="000000"/>
          <w:kern w:val="0"/>
          <w:lang w:eastAsia="cs-CZ"/>
        </w:rPr>
        <w:t xml:space="preserve"> na základě </w:t>
      </w:r>
      <w:r w:rsidRPr="007A247E">
        <w:rPr>
          <w:rFonts w:ascii="Arial" w:hAnsi="Arial" w:cs="Arial"/>
          <w:color w:val="000000"/>
        </w:rPr>
        <w:t xml:space="preserve">§ 6 odst. 4, § 11 odst. </w:t>
      </w:r>
      <w:smartTag w:uri="urn:schemas-microsoft-com:office:smarttags" w:element="metricconverter">
        <w:smartTagPr>
          <w:attr w:name="ProductID" w:val="5 a"/>
        </w:smartTagPr>
        <w:r w:rsidRPr="007A247E">
          <w:rPr>
            <w:rFonts w:ascii="Arial" w:hAnsi="Arial" w:cs="Arial"/>
            <w:color w:val="000000"/>
          </w:rPr>
          <w:t>5 a</w:t>
        </w:r>
      </w:smartTag>
      <w:r w:rsidRPr="007A247E">
        <w:rPr>
          <w:rFonts w:ascii="Arial" w:hAnsi="Arial" w:cs="Arial"/>
          <w:color w:val="000000"/>
        </w:rPr>
        <w:t xml:space="preserve"> § 12 odst. 1 písm. a) bodu 4 </w:t>
      </w:r>
      <w:r w:rsidRPr="007A247E">
        <w:rPr>
          <w:rFonts w:ascii="Arial" w:hAnsi="Arial" w:cs="Arial"/>
          <w:color w:val="000000"/>
          <w:kern w:val="0"/>
          <w:lang w:eastAsia="cs-CZ"/>
        </w:rPr>
        <w:t>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 (dále jen „vyhláška“):</w:t>
      </w:r>
    </w:p>
    <w:p w:rsidR="0093376C" w:rsidRPr="007A247E" w:rsidRDefault="0093376C" w:rsidP="00E91C08">
      <w:pPr>
        <w:spacing w:after="0" w:line="240" w:lineRule="auto"/>
        <w:jc w:val="both"/>
        <w:rPr>
          <w:rFonts w:ascii="Arial" w:hAnsi="Arial" w:cs="Arial"/>
          <w:color w:val="000000"/>
          <w:kern w:val="0"/>
          <w:lang w:eastAsia="cs-CZ"/>
        </w:rPr>
      </w:pPr>
    </w:p>
    <w:p w:rsidR="0093376C" w:rsidRPr="000F32CD" w:rsidRDefault="0093376C" w:rsidP="000F32CD">
      <w:pPr>
        <w:keepNext/>
        <w:spacing w:after="120" w:line="271" w:lineRule="auto"/>
        <w:jc w:val="center"/>
        <w:rPr>
          <w:rFonts w:ascii="Times New Roman" w:hAnsi="Times New Roman"/>
          <w:color w:val="000000"/>
          <w:kern w:val="0"/>
          <w:sz w:val="24"/>
          <w:szCs w:val="24"/>
          <w:lang w:eastAsia="cs-CZ"/>
        </w:rPr>
      </w:pPr>
      <w:r w:rsidRPr="007A247E">
        <w:rPr>
          <w:rFonts w:ascii="Arial" w:hAnsi="Arial" w:cs="Arial"/>
          <w:b/>
          <w:bCs/>
          <w:color w:val="000000"/>
          <w:kern w:val="0"/>
          <w:lang w:eastAsia="cs-CZ"/>
        </w:rPr>
        <w:t>Čl. 1</w:t>
      </w:r>
    </w:p>
    <w:p w:rsidR="0093376C" w:rsidRPr="007A247E" w:rsidRDefault="0093376C" w:rsidP="004C7737">
      <w:pPr>
        <w:keepNext/>
        <w:spacing w:line="276" w:lineRule="auto"/>
        <w:jc w:val="center"/>
        <w:rPr>
          <w:rFonts w:ascii="Arial" w:hAnsi="Arial" w:cs="Arial"/>
          <w:b/>
          <w:color w:val="000000"/>
          <w:szCs w:val="24"/>
        </w:rPr>
      </w:pPr>
      <w:r w:rsidRPr="007A247E">
        <w:rPr>
          <w:rFonts w:ascii="Arial" w:hAnsi="Arial" w:cs="Arial"/>
          <w:b/>
          <w:color w:val="000000"/>
          <w:szCs w:val="24"/>
        </w:rPr>
        <w:t>Zvýšení koeficientu u skupiny stavebních pozemků</w:t>
      </w:r>
    </w:p>
    <w:p w:rsidR="0093376C" w:rsidRPr="007A247E" w:rsidRDefault="0093376C" w:rsidP="004C7737">
      <w:pPr>
        <w:tabs>
          <w:tab w:val="left" w:pos="567"/>
        </w:tabs>
        <w:spacing w:line="276" w:lineRule="auto"/>
        <w:jc w:val="both"/>
        <w:rPr>
          <w:rFonts w:ascii="Arial" w:hAnsi="Arial" w:cs="Arial"/>
          <w:color w:val="000000"/>
        </w:rPr>
      </w:pPr>
      <w:r w:rsidRPr="007A247E">
        <w:rPr>
          <w:rFonts w:ascii="Arial" w:hAnsi="Arial" w:cs="Arial"/>
          <w:color w:val="000000"/>
        </w:rPr>
        <w:t>U pozemků zařazených do skupiny stavebních pozemků se koeficient, jímž se násobí sazba daně, zvyšuje o jednu kategorii podle členění koeficientů dle § 6 odst. 3 zákona o dani z nemovitých věcí, a to pro všechny tyto pozemky na území jednotlivého katastrálního území:</w:t>
      </w:r>
    </w:p>
    <w:p w:rsidR="0093376C" w:rsidRPr="007A247E" w:rsidRDefault="0093376C" w:rsidP="004C7737">
      <w:pPr>
        <w:pStyle w:val="ListParagraph"/>
        <w:numPr>
          <w:ilvl w:val="0"/>
          <w:numId w:val="11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0000"/>
        </w:rPr>
      </w:pPr>
      <w:r w:rsidRPr="007A247E">
        <w:rPr>
          <w:rFonts w:ascii="Arial" w:hAnsi="Arial" w:cs="Arial"/>
          <w:color w:val="000000"/>
        </w:rPr>
        <w:t>Vrchlabí</w:t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</w:r>
    </w:p>
    <w:p w:rsidR="0093376C" w:rsidRPr="007A247E" w:rsidRDefault="0093376C" w:rsidP="004C7737">
      <w:pPr>
        <w:pStyle w:val="ListParagraph"/>
        <w:numPr>
          <w:ilvl w:val="0"/>
          <w:numId w:val="11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0000"/>
        </w:rPr>
      </w:pPr>
      <w:r w:rsidRPr="007A247E">
        <w:rPr>
          <w:rFonts w:ascii="Arial" w:hAnsi="Arial" w:cs="Arial"/>
          <w:color w:val="000000"/>
        </w:rPr>
        <w:t>Podhůří- Harta</w:t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</w:r>
    </w:p>
    <w:p w:rsidR="0093376C" w:rsidRPr="007A247E" w:rsidRDefault="0093376C" w:rsidP="004C7737">
      <w:pPr>
        <w:pStyle w:val="ListParagraph"/>
        <w:numPr>
          <w:ilvl w:val="0"/>
          <w:numId w:val="11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0000"/>
        </w:rPr>
      </w:pPr>
      <w:r w:rsidRPr="007A247E">
        <w:rPr>
          <w:rFonts w:ascii="Arial" w:hAnsi="Arial" w:cs="Arial"/>
          <w:color w:val="000000"/>
        </w:rPr>
        <w:t>Hořejší Vrchlabí</w:t>
      </w:r>
    </w:p>
    <w:p w:rsidR="0093376C" w:rsidRPr="007A247E" w:rsidRDefault="0093376C" w:rsidP="004C7737">
      <w:pPr>
        <w:keepNext/>
        <w:spacing w:line="271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7A247E">
        <w:rPr>
          <w:rFonts w:ascii="Arial" w:hAnsi="Arial" w:cs="Arial"/>
          <w:b/>
          <w:bCs/>
          <w:color w:val="000000"/>
          <w:lang w:eastAsia="cs-CZ"/>
        </w:rPr>
        <w:t>Čl. 2</w:t>
      </w:r>
    </w:p>
    <w:p w:rsidR="0093376C" w:rsidRPr="007A247E" w:rsidRDefault="0093376C" w:rsidP="004C7737">
      <w:pPr>
        <w:keepNext/>
        <w:spacing w:line="276" w:lineRule="auto"/>
        <w:jc w:val="center"/>
        <w:rPr>
          <w:rFonts w:ascii="Arial" w:hAnsi="Arial" w:cs="Arial"/>
          <w:b/>
          <w:color w:val="000000"/>
          <w:szCs w:val="24"/>
        </w:rPr>
      </w:pPr>
      <w:r w:rsidRPr="007A247E">
        <w:rPr>
          <w:rFonts w:ascii="Arial" w:hAnsi="Arial" w:cs="Arial"/>
          <w:b/>
          <w:color w:val="000000"/>
          <w:szCs w:val="24"/>
        </w:rPr>
        <w:t>Zvýšení koeficientu u vybraných skupin staveb a jednotek</w:t>
      </w:r>
    </w:p>
    <w:p w:rsidR="0093376C" w:rsidRPr="007A247E" w:rsidRDefault="0093376C" w:rsidP="004C7737">
      <w:pPr>
        <w:tabs>
          <w:tab w:val="left" w:pos="567"/>
        </w:tabs>
        <w:spacing w:line="276" w:lineRule="auto"/>
        <w:jc w:val="both"/>
        <w:rPr>
          <w:rFonts w:ascii="Arial" w:hAnsi="Arial" w:cs="Arial"/>
          <w:color w:val="000000"/>
        </w:rPr>
      </w:pPr>
      <w:r w:rsidRPr="007A247E">
        <w:rPr>
          <w:rFonts w:ascii="Arial" w:hAnsi="Arial" w:cs="Arial"/>
          <w:color w:val="000000"/>
        </w:rPr>
        <w:t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 nemovitých věcí, a to pro všechny tyto zdanitelné stavby a jednotky na území jednotlivého katastrálního území:</w:t>
      </w:r>
    </w:p>
    <w:p w:rsidR="0093376C" w:rsidRPr="007A247E" w:rsidRDefault="0093376C" w:rsidP="004C7737">
      <w:pPr>
        <w:pStyle w:val="ListParagraph"/>
        <w:numPr>
          <w:ilvl w:val="0"/>
          <w:numId w:val="12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  <w:color w:val="000000"/>
        </w:rPr>
      </w:pPr>
      <w:r w:rsidRPr="007A247E">
        <w:rPr>
          <w:rFonts w:ascii="Arial" w:hAnsi="Arial" w:cs="Arial"/>
          <w:color w:val="000000"/>
        </w:rPr>
        <w:t>Vrchlabí</w:t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</w:r>
    </w:p>
    <w:p w:rsidR="0093376C" w:rsidRPr="007A247E" w:rsidRDefault="0093376C" w:rsidP="004C7737">
      <w:pPr>
        <w:pStyle w:val="ListParagraph"/>
        <w:numPr>
          <w:ilvl w:val="0"/>
          <w:numId w:val="12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  <w:color w:val="000000"/>
        </w:rPr>
      </w:pPr>
      <w:r w:rsidRPr="007A247E">
        <w:rPr>
          <w:rFonts w:ascii="Arial" w:hAnsi="Arial" w:cs="Arial"/>
          <w:color w:val="000000"/>
        </w:rPr>
        <w:t>Podhůří- Harta</w:t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</w:r>
    </w:p>
    <w:p w:rsidR="0093376C" w:rsidRPr="007A247E" w:rsidRDefault="0093376C" w:rsidP="004C7737">
      <w:pPr>
        <w:pStyle w:val="ListParagraph"/>
        <w:numPr>
          <w:ilvl w:val="0"/>
          <w:numId w:val="12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  <w:color w:val="000000"/>
        </w:rPr>
      </w:pPr>
      <w:r w:rsidRPr="007A247E">
        <w:rPr>
          <w:rFonts w:ascii="Arial" w:hAnsi="Arial" w:cs="Arial"/>
          <w:color w:val="000000"/>
        </w:rPr>
        <w:t xml:space="preserve">Hořejší Vrchlabí  </w:t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</w:r>
    </w:p>
    <w:p w:rsidR="0093376C" w:rsidRPr="007A247E" w:rsidRDefault="0093376C" w:rsidP="004C7737">
      <w:pPr>
        <w:tabs>
          <w:tab w:val="left" w:pos="1134"/>
        </w:tabs>
        <w:spacing w:line="276" w:lineRule="auto"/>
        <w:rPr>
          <w:rFonts w:ascii="Arial" w:hAnsi="Arial" w:cs="Arial"/>
          <w:color w:val="000000"/>
        </w:rPr>
      </w:pPr>
    </w:p>
    <w:p w:rsidR="0093376C" w:rsidRPr="007A247E" w:rsidRDefault="0093376C" w:rsidP="00E91C08">
      <w:pPr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  <w:lang w:eastAsia="cs-CZ"/>
        </w:rPr>
      </w:pPr>
    </w:p>
    <w:p w:rsidR="0093376C" w:rsidRPr="007A247E" w:rsidRDefault="0093376C" w:rsidP="00E91C08">
      <w:pPr>
        <w:spacing w:after="120" w:line="271" w:lineRule="auto"/>
        <w:rPr>
          <w:rFonts w:ascii="Times New Roman" w:hAnsi="Times New Roman"/>
          <w:color w:val="000000"/>
          <w:kern w:val="0"/>
          <w:sz w:val="24"/>
          <w:szCs w:val="24"/>
          <w:lang w:eastAsia="cs-CZ"/>
        </w:rPr>
      </w:pPr>
      <w:r w:rsidRPr="007A247E">
        <w:rPr>
          <w:rFonts w:ascii="Times New Roman" w:hAnsi="Times New Roman"/>
          <w:color w:val="000000"/>
          <w:kern w:val="0"/>
          <w:sz w:val="24"/>
          <w:szCs w:val="24"/>
          <w:lang w:eastAsia="cs-CZ"/>
        </w:rPr>
        <w:t> </w:t>
      </w:r>
    </w:p>
    <w:p w:rsidR="0093376C" w:rsidRPr="007A247E" w:rsidRDefault="0093376C" w:rsidP="00E91C08">
      <w:pPr>
        <w:keepNext/>
        <w:spacing w:after="120" w:line="271" w:lineRule="auto"/>
        <w:jc w:val="center"/>
        <w:rPr>
          <w:rFonts w:ascii="Times New Roman" w:hAnsi="Times New Roman"/>
          <w:color w:val="000000"/>
          <w:kern w:val="0"/>
          <w:sz w:val="24"/>
          <w:szCs w:val="24"/>
          <w:lang w:eastAsia="cs-CZ"/>
        </w:rPr>
      </w:pPr>
      <w:r w:rsidRPr="007A247E">
        <w:rPr>
          <w:rFonts w:ascii="Arial" w:hAnsi="Arial" w:cs="Arial"/>
          <w:b/>
          <w:bCs/>
          <w:color w:val="000000"/>
          <w:kern w:val="0"/>
          <w:lang w:eastAsia="cs-CZ"/>
        </w:rPr>
        <w:t>Čl. 3</w:t>
      </w:r>
    </w:p>
    <w:p w:rsidR="0093376C" w:rsidRPr="007A247E" w:rsidRDefault="0093376C" w:rsidP="00E91C08">
      <w:pPr>
        <w:keepNext/>
        <w:spacing w:after="120" w:line="271" w:lineRule="auto"/>
        <w:jc w:val="center"/>
        <w:rPr>
          <w:rFonts w:ascii="Times New Roman" w:hAnsi="Times New Roman"/>
          <w:color w:val="000000"/>
          <w:kern w:val="0"/>
          <w:sz w:val="24"/>
          <w:szCs w:val="24"/>
          <w:lang w:eastAsia="cs-CZ"/>
        </w:rPr>
      </w:pPr>
      <w:r w:rsidRPr="007A247E">
        <w:rPr>
          <w:rFonts w:ascii="Arial" w:hAnsi="Arial" w:cs="Arial"/>
          <w:b/>
          <w:bCs/>
          <w:color w:val="000000"/>
          <w:kern w:val="0"/>
          <w:lang w:eastAsia="cs-CZ"/>
        </w:rPr>
        <w:t>Místní koeficient pro jednotlivé skupiny nemovitých věcí</w:t>
      </w:r>
    </w:p>
    <w:p w:rsidR="0093376C" w:rsidRPr="007A247E" w:rsidRDefault="0093376C" w:rsidP="00493DF8">
      <w:pPr>
        <w:tabs>
          <w:tab w:val="left" w:pos="426"/>
        </w:tabs>
        <w:spacing w:after="120" w:line="271" w:lineRule="auto"/>
        <w:ind w:left="360"/>
        <w:jc w:val="both"/>
        <w:rPr>
          <w:rFonts w:ascii="Arial" w:hAnsi="Arial" w:cs="Arial"/>
          <w:color w:val="000000"/>
          <w:kern w:val="0"/>
          <w:lang w:eastAsia="cs-CZ"/>
        </w:rPr>
      </w:pPr>
      <w:r w:rsidRPr="007A247E">
        <w:rPr>
          <w:rFonts w:ascii="Arial" w:hAnsi="Arial" w:cs="Arial"/>
          <w:color w:val="000000"/>
          <w:kern w:val="0"/>
          <w:lang w:eastAsia="cs-CZ"/>
        </w:rPr>
        <w:t xml:space="preserve">Město Vrchlabí stanovuje místní koeficient pro jednotlivé skupiny staveb a jednotek dle § 10a odst. 1 zákona o dani z nemovitých věcí, a to v následující výši: </w:t>
      </w:r>
    </w:p>
    <w:p w:rsidR="0093376C" w:rsidRPr="007A247E" w:rsidRDefault="0093376C" w:rsidP="00493DF8">
      <w:pPr>
        <w:pStyle w:val="ListParagraph"/>
        <w:numPr>
          <w:ilvl w:val="0"/>
          <w:numId w:val="14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/>
        </w:rPr>
      </w:pPr>
      <w:r w:rsidRPr="007A247E">
        <w:rPr>
          <w:rFonts w:ascii="Arial" w:hAnsi="Arial" w:cs="Arial"/>
          <w:color w:val="000000"/>
        </w:rPr>
        <w:t>rekreační budovy</w:t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  <w:t>koeficient 1,5,</w:t>
      </w:r>
    </w:p>
    <w:p w:rsidR="0093376C" w:rsidRPr="007A247E" w:rsidRDefault="0093376C" w:rsidP="00493DF8">
      <w:pPr>
        <w:pStyle w:val="ListParagraph"/>
        <w:numPr>
          <w:ilvl w:val="0"/>
          <w:numId w:val="14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/>
        </w:rPr>
      </w:pPr>
      <w:r w:rsidRPr="007A247E">
        <w:rPr>
          <w:rFonts w:ascii="Arial" w:hAnsi="Arial" w:cs="Arial"/>
          <w:color w:val="000000"/>
        </w:rPr>
        <w:t>garáže</w:t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  <w:t>koeficient 1,5,</w:t>
      </w:r>
    </w:p>
    <w:p w:rsidR="0093376C" w:rsidRPr="007A247E" w:rsidRDefault="0093376C" w:rsidP="00493DF8">
      <w:pPr>
        <w:pStyle w:val="ListParagraph"/>
        <w:numPr>
          <w:ilvl w:val="0"/>
          <w:numId w:val="14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  <w:color w:val="000000"/>
        </w:rPr>
      </w:pPr>
      <w:r w:rsidRPr="007A247E">
        <w:rPr>
          <w:rFonts w:ascii="Arial" w:hAnsi="Arial" w:cs="Arial"/>
          <w:color w:val="000000"/>
        </w:rPr>
        <w:t>zdanitelné stavby a zdanitelné jednotky pro</w:t>
      </w:r>
    </w:p>
    <w:p w:rsidR="0093376C" w:rsidRPr="007A247E" w:rsidRDefault="0093376C" w:rsidP="00493DF8">
      <w:pPr>
        <w:pStyle w:val="ListParagraph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0000"/>
        </w:rPr>
      </w:pPr>
      <w:r w:rsidRPr="007A247E">
        <w:rPr>
          <w:rFonts w:ascii="Arial" w:hAnsi="Arial" w:cs="Arial"/>
          <w:color w:val="000000"/>
        </w:rPr>
        <w:t>podnikání v zemědělské prvovýrobě, lesním</w:t>
      </w:r>
    </w:p>
    <w:p w:rsidR="0093376C" w:rsidRPr="007A247E" w:rsidRDefault="0093376C" w:rsidP="00493DF8">
      <w:pPr>
        <w:pStyle w:val="ListParagraph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/>
        </w:rPr>
      </w:pPr>
      <w:r w:rsidRPr="007A247E">
        <w:rPr>
          <w:rFonts w:ascii="Arial" w:hAnsi="Arial" w:cs="Arial"/>
          <w:color w:val="000000"/>
        </w:rPr>
        <w:t>nebo vodním hospodářství</w:t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  <w:t>koeficient 1,5,</w:t>
      </w:r>
    </w:p>
    <w:p w:rsidR="0093376C" w:rsidRPr="007A247E" w:rsidRDefault="0093376C" w:rsidP="00493DF8">
      <w:pPr>
        <w:pStyle w:val="ListParagraph"/>
        <w:numPr>
          <w:ilvl w:val="0"/>
          <w:numId w:val="14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color w:val="000000"/>
        </w:rPr>
      </w:pPr>
      <w:r w:rsidRPr="007A247E">
        <w:rPr>
          <w:rFonts w:ascii="Arial" w:hAnsi="Arial" w:cs="Arial"/>
          <w:color w:val="000000"/>
        </w:rPr>
        <w:t>zdanitelné stavby a zdanitelné jednotky pro</w:t>
      </w:r>
    </w:p>
    <w:p w:rsidR="0093376C" w:rsidRPr="007A247E" w:rsidRDefault="0093376C" w:rsidP="00493DF8">
      <w:pPr>
        <w:pStyle w:val="ListParagraph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0000"/>
        </w:rPr>
      </w:pPr>
      <w:r w:rsidRPr="007A247E">
        <w:rPr>
          <w:rFonts w:ascii="Arial" w:hAnsi="Arial" w:cs="Arial"/>
          <w:color w:val="000000"/>
        </w:rPr>
        <w:t>podnikání v průmyslu, stavebnictví, dopravě,</w:t>
      </w:r>
    </w:p>
    <w:p w:rsidR="0093376C" w:rsidRPr="007A247E" w:rsidRDefault="0093376C" w:rsidP="00493DF8">
      <w:pPr>
        <w:pStyle w:val="ListParagraph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/>
        </w:rPr>
      </w:pPr>
      <w:r w:rsidRPr="007A247E">
        <w:rPr>
          <w:rFonts w:ascii="Arial" w:hAnsi="Arial" w:cs="Arial"/>
          <w:color w:val="000000"/>
        </w:rPr>
        <w:t>energetice nebo ostatní zemědělské výrobě</w:t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  <w:t>koeficient 1,5,</w:t>
      </w:r>
    </w:p>
    <w:p w:rsidR="0093376C" w:rsidRPr="007A247E" w:rsidRDefault="0093376C" w:rsidP="00493DF8">
      <w:pPr>
        <w:pStyle w:val="ListParagraph"/>
        <w:numPr>
          <w:ilvl w:val="0"/>
          <w:numId w:val="14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color w:val="000000"/>
        </w:rPr>
      </w:pPr>
      <w:r w:rsidRPr="007A247E">
        <w:rPr>
          <w:rFonts w:ascii="Arial" w:hAnsi="Arial" w:cs="Arial"/>
          <w:color w:val="000000"/>
        </w:rPr>
        <w:t>zdanitelné stavby a zdanitelné jednotky pro</w:t>
      </w:r>
    </w:p>
    <w:p w:rsidR="0093376C" w:rsidRPr="007A247E" w:rsidRDefault="0093376C" w:rsidP="00493DF8">
      <w:pPr>
        <w:pStyle w:val="ListParagraph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/>
        </w:rPr>
      </w:pPr>
      <w:r w:rsidRPr="007A247E">
        <w:rPr>
          <w:rFonts w:ascii="Arial" w:hAnsi="Arial" w:cs="Arial"/>
          <w:color w:val="000000"/>
        </w:rPr>
        <w:t>ostatní druhy podnikání</w:t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</w:r>
      <w:r w:rsidRPr="007A247E">
        <w:rPr>
          <w:rFonts w:ascii="Arial" w:hAnsi="Arial" w:cs="Arial"/>
          <w:color w:val="000000"/>
        </w:rPr>
        <w:tab/>
        <w:t>koeficient 1,5.</w:t>
      </w:r>
    </w:p>
    <w:p w:rsidR="0093376C" w:rsidRPr="007A247E" w:rsidRDefault="0093376C" w:rsidP="00493DF8">
      <w:pPr>
        <w:tabs>
          <w:tab w:val="left" w:pos="426"/>
          <w:tab w:val="left" w:pos="1134"/>
        </w:tabs>
        <w:spacing w:after="120" w:line="271" w:lineRule="auto"/>
        <w:rPr>
          <w:rFonts w:ascii="Arial" w:hAnsi="Arial" w:cs="Arial"/>
          <w:color w:val="000000"/>
          <w:kern w:val="0"/>
          <w:lang w:eastAsia="cs-CZ"/>
        </w:rPr>
      </w:pPr>
    </w:p>
    <w:p w:rsidR="0093376C" w:rsidRPr="007A247E" w:rsidRDefault="0093376C" w:rsidP="00493DF8">
      <w:pPr>
        <w:tabs>
          <w:tab w:val="left" w:pos="426"/>
          <w:tab w:val="left" w:pos="1134"/>
        </w:tabs>
        <w:spacing w:after="120" w:line="271" w:lineRule="auto"/>
        <w:rPr>
          <w:rFonts w:ascii="Times New Roman" w:hAnsi="Times New Roman"/>
          <w:color w:val="000000"/>
          <w:kern w:val="0"/>
          <w:sz w:val="24"/>
          <w:szCs w:val="24"/>
          <w:lang w:eastAsia="cs-CZ"/>
        </w:rPr>
      </w:pPr>
      <w:r w:rsidRPr="007A247E">
        <w:rPr>
          <w:rFonts w:ascii="Arial" w:hAnsi="Arial" w:cs="Arial"/>
          <w:color w:val="000000"/>
          <w:kern w:val="0"/>
          <w:lang w:eastAsia="cs-CZ"/>
        </w:rPr>
        <w:t>Místní koeficient pro jednotlivou skupinu nemovitých věcí se vztahuje na všechny nemovité věci dané skupiny nemovitých věcí na území celého města Vrchlabí.</w:t>
      </w:r>
      <w:r w:rsidRPr="007A247E">
        <w:rPr>
          <w:rFonts w:ascii="Arial" w:hAnsi="Arial" w:cs="Arial"/>
          <w:color w:val="000000"/>
          <w:kern w:val="0"/>
          <w:vertAlign w:val="superscript"/>
          <w:lang w:eastAsia="cs-CZ"/>
        </w:rPr>
        <w:footnoteReference w:id="1"/>
      </w:r>
    </w:p>
    <w:p w:rsidR="0093376C" w:rsidRPr="007A247E" w:rsidRDefault="0093376C" w:rsidP="00E91C08">
      <w:pPr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  <w:lang w:eastAsia="cs-CZ"/>
        </w:rPr>
      </w:pPr>
    </w:p>
    <w:p w:rsidR="0093376C" w:rsidRPr="007A247E" w:rsidRDefault="0093376C" w:rsidP="00E91C08">
      <w:pPr>
        <w:keepNext/>
        <w:spacing w:after="120" w:line="271" w:lineRule="auto"/>
        <w:jc w:val="center"/>
        <w:rPr>
          <w:rFonts w:ascii="Times New Roman" w:hAnsi="Times New Roman"/>
          <w:color w:val="000000"/>
          <w:kern w:val="0"/>
          <w:sz w:val="24"/>
          <w:szCs w:val="24"/>
          <w:lang w:eastAsia="cs-CZ"/>
        </w:rPr>
      </w:pPr>
      <w:r w:rsidRPr="007A247E">
        <w:rPr>
          <w:rFonts w:ascii="Arial" w:hAnsi="Arial" w:cs="Arial"/>
          <w:b/>
          <w:bCs/>
          <w:color w:val="000000"/>
          <w:kern w:val="0"/>
          <w:lang w:eastAsia="cs-CZ"/>
        </w:rPr>
        <w:t>Čl. 4</w:t>
      </w:r>
    </w:p>
    <w:p w:rsidR="0093376C" w:rsidRPr="007A247E" w:rsidRDefault="0093376C" w:rsidP="00E91C08">
      <w:pPr>
        <w:keepNext/>
        <w:spacing w:after="120" w:line="271" w:lineRule="auto"/>
        <w:jc w:val="center"/>
        <w:rPr>
          <w:rFonts w:ascii="Times New Roman" w:hAnsi="Times New Roman"/>
          <w:color w:val="000000"/>
          <w:kern w:val="0"/>
          <w:sz w:val="24"/>
          <w:szCs w:val="24"/>
          <w:lang w:eastAsia="cs-CZ"/>
        </w:rPr>
      </w:pPr>
      <w:r w:rsidRPr="007A247E">
        <w:rPr>
          <w:rFonts w:ascii="Arial" w:hAnsi="Arial" w:cs="Arial"/>
          <w:b/>
          <w:bCs/>
          <w:color w:val="000000"/>
          <w:kern w:val="0"/>
          <w:lang w:eastAsia="cs-CZ"/>
        </w:rPr>
        <w:t>Zrušovací ustanovení</w:t>
      </w:r>
    </w:p>
    <w:p w:rsidR="0093376C" w:rsidRPr="007A247E" w:rsidRDefault="0093376C" w:rsidP="003A2310">
      <w:pPr>
        <w:spacing w:after="120" w:line="271" w:lineRule="auto"/>
        <w:jc w:val="both"/>
        <w:rPr>
          <w:rFonts w:ascii="Times New Roman" w:hAnsi="Times New Roman"/>
          <w:color w:val="000000"/>
          <w:kern w:val="0"/>
          <w:sz w:val="24"/>
          <w:szCs w:val="24"/>
          <w:lang w:eastAsia="cs-CZ"/>
        </w:rPr>
      </w:pPr>
      <w:r w:rsidRPr="007A247E">
        <w:rPr>
          <w:rFonts w:ascii="Arial" w:hAnsi="Arial" w:cs="Arial"/>
          <w:color w:val="000000"/>
          <w:kern w:val="0"/>
          <w:lang w:eastAsia="cs-CZ"/>
        </w:rPr>
        <w:t>Zrušuje se obecně závazná vyhláška města Vrchlabí č. 2/2009, o stanovení koeficientu pro výpočet sazby daně z nemovitostí ze dne 10. 6. 2009.</w:t>
      </w:r>
    </w:p>
    <w:p w:rsidR="0093376C" w:rsidRPr="007A247E" w:rsidRDefault="0093376C" w:rsidP="00E91C08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Times New Roman" w:hAnsi="Times New Roman"/>
          <w:b/>
          <w:bCs/>
          <w:color w:val="000000"/>
          <w:kern w:val="0"/>
          <w:sz w:val="36"/>
          <w:szCs w:val="36"/>
          <w:lang w:eastAsia="cs-CZ"/>
        </w:rPr>
      </w:pPr>
      <w:r w:rsidRPr="007A247E">
        <w:rPr>
          <w:rFonts w:ascii="Times New Roman" w:hAnsi="Times New Roman"/>
          <w:b/>
          <w:bCs/>
          <w:color w:val="000000"/>
          <w:kern w:val="0"/>
          <w:sz w:val="36"/>
          <w:szCs w:val="36"/>
          <w:lang w:eastAsia="cs-CZ"/>
        </w:rPr>
        <w:t> </w:t>
      </w:r>
    </w:p>
    <w:p w:rsidR="0093376C" w:rsidRPr="007A247E" w:rsidRDefault="0093376C" w:rsidP="00E91C08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Arial" w:hAnsi="Arial" w:cs="Arial"/>
          <w:b/>
          <w:bCs/>
          <w:color w:val="000000"/>
          <w:kern w:val="0"/>
          <w:lang w:eastAsia="cs-CZ"/>
        </w:rPr>
      </w:pPr>
      <w:r w:rsidRPr="007A247E">
        <w:rPr>
          <w:rFonts w:ascii="Arial" w:hAnsi="Arial" w:cs="Arial"/>
          <w:b/>
          <w:bCs/>
          <w:color w:val="000000"/>
          <w:kern w:val="0"/>
          <w:lang w:eastAsia="cs-CZ"/>
        </w:rPr>
        <w:t>Čl. 5</w:t>
      </w:r>
    </w:p>
    <w:p w:rsidR="0093376C" w:rsidRPr="007A247E" w:rsidRDefault="0093376C" w:rsidP="00493DF8">
      <w:pPr>
        <w:keepNext/>
        <w:spacing w:line="276" w:lineRule="auto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7A247E">
        <w:rPr>
          <w:rFonts w:ascii="Arial" w:hAnsi="Arial" w:cs="Arial"/>
          <w:b/>
          <w:color w:val="000000"/>
        </w:rPr>
        <w:t>Účinnost</w:t>
      </w:r>
    </w:p>
    <w:p w:rsidR="0093376C" w:rsidRDefault="0093376C" w:rsidP="003A231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:rsidR="0093376C" w:rsidRPr="00E91C08" w:rsidRDefault="0093376C" w:rsidP="00E91C08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kern w:val="0"/>
          <w:sz w:val="36"/>
          <w:szCs w:val="36"/>
          <w:lang w:eastAsia="cs-CZ"/>
        </w:rPr>
      </w:pPr>
    </w:p>
    <w:p w:rsidR="0093376C" w:rsidRPr="00E91C08" w:rsidRDefault="0093376C" w:rsidP="00E91C08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cs-CZ"/>
        </w:rPr>
      </w:pPr>
      <w:r>
        <w:rPr>
          <w:rFonts w:ascii="Times New Roman" w:hAnsi="Times New Roman"/>
          <w:kern w:val="0"/>
          <w:sz w:val="24"/>
          <w:szCs w:val="24"/>
          <w:lang w:eastAsia="cs-CZ"/>
        </w:rPr>
        <w:t> </w:t>
      </w:r>
    </w:p>
    <w:p w:rsidR="0093376C" w:rsidRPr="00E91C08" w:rsidRDefault="0093376C" w:rsidP="00E91C08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cs-CZ"/>
        </w:rPr>
      </w:pPr>
    </w:p>
    <w:p w:rsidR="0093376C" w:rsidRPr="00E91C08" w:rsidRDefault="0093376C" w:rsidP="00E91C08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cs-CZ"/>
        </w:rPr>
      </w:pPr>
      <w:r w:rsidRPr="00E91C08">
        <w:rPr>
          <w:rFonts w:ascii="Times New Roman" w:hAnsi="Times New Roman"/>
          <w:kern w:val="0"/>
          <w:sz w:val="24"/>
          <w:szCs w:val="24"/>
          <w:lang w:eastAsia="cs-CZ"/>
        </w:rPr>
        <w:t> </w:t>
      </w:r>
    </w:p>
    <w:p w:rsidR="0093376C" w:rsidRPr="00E91C08" w:rsidRDefault="0093376C" w:rsidP="00E91C08">
      <w:pPr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:lang w:eastAsia="cs-CZ"/>
        </w:rPr>
      </w:pPr>
      <w:r>
        <w:rPr>
          <w:rFonts w:ascii="Arial" w:hAnsi="Arial" w:cs="Arial"/>
          <w:color w:val="000000"/>
          <w:kern w:val="0"/>
          <w:lang w:eastAsia="cs-CZ"/>
        </w:rPr>
        <w:t>Ing. Jan Sobotka</w:t>
      </w:r>
      <w:r w:rsidRPr="00E91C08">
        <w:rPr>
          <w:rFonts w:ascii="Arial" w:hAnsi="Arial" w:cs="Arial"/>
          <w:color w:val="000000"/>
          <w:kern w:val="0"/>
          <w:lang w:eastAsia="cs-CZ"/>
        </w:rPr>
        <w:t xml:space="preserve"> </w:t>
      </w:r>
      <w:r>
        <w:rPr>
          <w:rFonts w:ascii="Arial" w:hAnsi="Arial" w:cs="Arial"/>
          <w:color w:val="000000"/>
          <w:kern w:val="0"/>
          <w:lang w:eastAsia="cs-CZ"/>
        </w:rPr>
        <w:t>v.r.</w:t>
      </w:r>
    </w:p>
    <w:p w:rsidR="0093376C" w:rsidRPr="00E91C08" w:rsidRDefault="0093376C" w:rsidP="00E91C08">
      <w:pPr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:lang w:eastAsia="cs-CZ"/>
        </w:rPr>
      </w:pPr>
      <w:r w:rsidRPr="00E91C08">
        <w:rPr>
          <w:rFonts w:ascii="Arial" w:hAnsi="Arial" w:cs="Arial"/>
          <w:color w:val="000000"/>
          <w:kern w:val="0"/>
          <w:lang w:eastAsia="cs-CZ"/>
        </w:rPr>
        <w:t>starosta</w:t>
      </w:r>
    </w:p>
    <w:p w:rsidR="0093376C" w:rsidRPr="00E91C08" w:rsidRDefault="0093376C" w:rsidP="00E91C08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cs-CZ"/>
        </w:rPr>
      </w:pPr>
      <w:r w:rsidRPr="00E91C08">
        <w:rPr>
          <w:rFonts w:ascii="Times New Roman" w:hAnsi="Times New Roman"/>
          <w:kern w:val="0"/>
          <w:sz w:val="24"/>
          <w:szCs w:val="24"/>
          <w:lang w:eastAsia="cs-CZ"/>
        </w:rPr>
        <w:t> </w:t>
      </w:r>
    </w:p>
    <w:p w:rsidR="0093376C" w:rsidRPr="00E91C08" w:rsidRDefault="0093376C" w:rsidP="00E91C08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cs-CZ"/>
        </w:rPr>
      </w:pPr>
      <w:r w:rsidRPr="00E91C08">
        <w:rPr>
          <w:rFonts w:ascii="Times New Roman" w:hAnsi="Times New Roman"/>
          <w:kern w:val="0"/>
          <w:sz w:val="24"/>
          <w:szCs w:val="24"/>
          <w:lang w:eastAsia="cs-CZ"/>
        </w:rPr>
        <w:t> </w:t>
      </w:r>
    </w:p>
    <w:p w:rsidR="0093376C" w:rsidRPr="00E91C08" w:rsidRDefault="0093376C" w:rsidP="00E91C08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cs-CZ"/>
        </w:rPr>
      </w:pPr>
      <w:r w:rsidRPr="00E91C08">
        <w:rPr>
          <w:rFonts w:ascii="Times New Roman" w:hAnsi="Times New Roman"/>
          <w:kern w:val="0"/>
          <w:sz w:val="24"/>
          <w:szCs w:val="24"/>
          <w:lang w:eastAsia="cs-CZ"/>
        </w:rPr>
        <w:t> </w:t>
      </w:r>
    </w:p>
    <w:p w:rsidR="0093376C" w:rsidRPr="00E91C08" w:rsidRDefault="0093376C" w:rsidP="00E91C0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cs-CZ"/>
        </w:rPr>
      </w:pPr>
      <w:r w:rsidRPr="00E91C08">
        <w:rPr>
          <w:rFonts w:ascii="Times New Roman" w:hAnsi="Times New Roman"/>
          <w:kern w:val="0"/>
          <w:sz w:val="24"/>
          <w:szCs w:val="24"/>
          <w:lang w:eastAsia="cs-CZ"/>
        </w:rPr>
        <w:t> </w:t>
      </w:r>
    </w:p>
    <w:p w:rsidR="0093376C" w:rsidRPr="00E91C08" w:rsidRDefault="0093376C" w:rsidP="00E91C08">
      <w:pPr>
        <w:spacing w:after="0" w:line="240" w:lineRule="auto"/>
        <w:ind w:firstLine="708"/>
        <w:jc w:val="both"/>
        <w:rPr>
          <w:rFonts w:ascii="Times New Roman" w:hAnsi="Times New Roman"/>
          <w:kern w:val="0"/>
          <w:sz w:val="24"/>
          <w:szCs w:val="24"/>
          <w:lang w:eastAsia="cs-CZ"/>
        </w:rPr>
      </w:pPr>
      <w:r>
        <w:rPr>
          <w:rFonts w:ascii="Arial" w:hAnsi="Arial" w:cs="Arial"/>
          <w:color w:val="000000"/>
          <w:kern w:val="0"/>
          <w:lang w:eastAsia="cs-CZ"/>
        </w:rPr>
        <w:t>Alfred Plašil v.r.</w:t>
      </w:r>
      <w:r w:rsidRPr="00E91C08">
        <w:rPr>
          <w:rFonts w:ascii="Arial" w:hAnsi="Arial" w:cs="Arial"/>
          <w:color w:val="000000"/>
          <w:kern w:val="0"/>
          <w:lang w:eastAsia="cs-CZ"/>
        </w:rPr>
        <w:t> </w:t>
      </w:r>
      <w:r w:rsidRPr="00E91C08">
        <w:rPr>
          <w:rFonts w:ascii="Arial" w:hAnsi="Arial" w:cs="Arial"/>
          <w:color w:val="000000"/>
          <w:kern w:val="0"/>
          <w:lang w:eastAsia="cs-CZ"/>
        </w:rPr>
        <w:tab/>
      </w:r>
      <w:r w:rsidRPr="00E91C08">
        <w:rPr>
          <w:rFonts w:ascii="Arial" w:hAnsi="Arial" w:cs="Arial"/>
          <w:color w:val="000000"/>
          <w:kern w:val="0"/>
          <w:lang w:eastAsia="cs-CZ"/>
        </w:rPr>
        <w:tab/>
      </w:r>
      <w:r w:rsidRPr="00E91C08">
        <w:rPr>
          <w:rFonts w:ascii="Arial" w:hAnsi="Arial" w:cs="Arial"/>
          <w:color w:val="000000"/>
          <w:kern w:val="0"/>
          <w:lang w:eastAsia="cs-CZ"/>
        </w:rPr>
        <w:tab/>
      </w:r>
      <w:r w:rsidRPr="00E91C08">
        <w:rPr>
          <w:rFonts w:ascii="Arial" w:hAnsi="Arial" w:cs="Arial"/>
          <w:color w:val="000000"/>
          <w:kern w:val="0"/>
          <w:lang w:eastAsia="cs-CZ"/>
        </w:rPr>
        <w:tab/>
      </w:r>
      <w:r w:rsidRPr="00E91C08">
        <w:rPr>
          <w:rFonts w:ascii="Arial" w:hAnsi="Arial" w:cs="Arial"/>
          <w:color w:val="000000"/>
          <w:kern w:val="0"/>
          <w:lang w:eastAsia="cs-CZ"/>
        </w:rPr>
        <w:tab/>
      </w:r>
      <w:r w:rsidRPr="00E91C08">
        <w:rPr>
          <w:rFonts w:ascii="Arial" w:hAnsi="Arial" w:cs="Arial"/>
          <w:color w:val="000000"/>
          <w:kern w:val="0"/>
          <w:lang w:eastAsia="cs-CZ"/>
        </w:rPr>
        <w:tab/>
        <w:t xml:space="preserve">PhDr. Michal Vávra </w:t>
      </w:r>
      <w:r>
        <w:rPr>
          <w:rFonts w:ascii="Arial" w:hAnsi="Arial" w:cs="Arial"/>
          <w:color w:val="000000"/>
          <w:kern w:val="0"/>
          <w:lang w:eastAsia="cs-CZ"/>
        </w:rPr>
        <w:t>v.r.</w:t>
      </w:r>
    </w:p>
    <w:p w:rsidR="0093376C" w:rsidRPr="00E91C08" w:rsidRDefault="0093376C" w:rsidP="00BD47C3">
      <w:pPr>
        <w:spacing w:after="0" w:line="240" w:lineRule="auto"/>
        <w:ind w:firstLine="708"/>
        <w:jc w:val="both"/>
        <w:rPr>
          <w:rFonts w:ascii="Times New Roman" w:hAnsi="Times New Roman"/>
          <w:kern w:val="0"/>
          <w:sz w:val="24"/>
          <w:szCs w:val="24"/>
          <w:lang w:eastAsia="cs-CZ"/>
        </w:rPr>
      </w:pPr>
      <w:r w:rsidRPr="00E91C08">
        <w:rPr>
          <w:rFonts w:ascii="Arial" w:hAnsi="Arial" w:cs="Arial"/>
          <w:color w:val="000000"/>
          <w:kern w:val="0"/>
          <w:lang w:eastAsia="cs-CZ"/>
        </w:rPr>
        <w:t>místostarosta</w:t>
      </w:r>
      <w:r w:rsidRPr="00E91C08">
        <w:rPr>
          <w:rFonts w:ascii="Arial" w:hAnsi="Arial" w:cs="Arial"/>
          <w:color w:val="000000"/>
          <w:kern w:val="0"/>
          <w:lang w:eastAsia="cs-CZ"/>
        </w:rPr>
        <w:tab/>
      </w:r>
      <w:r w:rsidRPr="00E91C08">
        <w:rPr>
          <w:rFonts w:ascii="Arial" w:hAnsi="Arial" w:cs="Arial"/>
          <w:color w:val="000000"/>
          <w:kern w:val="0"/>
          <w:lang w:eastAsia="cs-CZ"/>
        </w:rPr>
        <w:tab/>
      </w:r>
      <w:r w:rsidRPr="00E91C08">
        <w:rPr>
          <w:rFonts w:ascii="Arial" w:hAnsi="Arial" w:cs="Arial"/>
          <w:color w:val="000000"/>
          <w:kern w:val="0"/>
          <w:lang w:eastAsia="cs-CZ"/>
        </w:rPr>
        <w:tab/>
      </w:r>
      <w:r w:rsidRPr="00E91C08">
        <w:rPr>
          <w:rFonts w:ascii="Arial" w:hAnsi="Arial" w:cs="Arial"/>
          <w:color w:val="000000"/>
          <w:kern w:val="0"/>
          <w:lang w:eastAsia="cs-CZ"/>
        </w:rPr>
        <w:tab/>
      </w:r>
      <w:r w:rsidRPr="00E91C08">
        <w:rPr>
          <w:rFonts w:ascii="Arial" w:hAnsi="Arial" w:cs="Arial"/>
          <w:color w:val="000000"/>
          <w:kern w:val="0"/>
          <w:lang w:eastAsia="cs-CZ"/>
        </w:rPr>
        <w:tab/>
      </w:r>
      <w:r w:rsidRPr="00E91C08">
        <w:rPr>
          <w:rFonts w:ascii="Arial" w:hAnsi="Arial" w:cs="Arial"/>
          <w:color w:val="000000"/>
          <w:kern w:val="0"/>
          <w:lang w:eastAsia="cs-CZ"/>
        </w:rPr>
        <w:tab/>
      </w:r>
      <w:r w:rsidRPr="00E91C08">
        <w:rPr>
          <w:rFonts w:ascii="Arial" w:hAnsi="Arial" w:cs="Arial"/>
          <w:color w:val="000000"/>
          <w:kern w:val="0"/>
          <w:lang w:eastAsia="cs-CZ"/>
        </w:rPr>
        <w:tab/>
        <w:t>     místostarosta</w:t>
      </w:r>
      <w:r w:rsidRPr="00E91C08">
        <w:rPr>
          <w:rFonts w:ascii="Times New Roman" w:hAnsi="Times New Roman"/>
          <w:kern w:val="0"/>
          <w:sz w:val="24"/>
          <w:szCs w:val="24"/>
          <w:lang w:eastAsia="cs-CZ"/>
        </w:rPr>
        <w:br w:type="textWrapping" w:clear="all"/>
      </w:r>
    </w:p>
    <w:sectPr w:rsidR="0093376C" w:rsidRPr="00E91C08" w:rsidSect="00F63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76C" w:rsidRDefault="0093376C" w:rsidP="00E91C08">
      <w:pPr>
        <w:spacing w:after="0" w:line="240" w:lineRule="auto"/>
      </w:pPr>
      <w:r>
        <w:separator/>
      </w:r>
    </w:p>
  </w:endnote>
  <w:endnote w:type="continuationSeparator" w:id="0">
    <w:p w:rsidR="0093376C" w:rsidRDefault="0093376C" w:rsidP="00E9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76C" w:rsidRDefault="0093376C" w:rsidP="00E91C08">
      <w:pPr>
        <w:spacing w:after="0" w:line="240" w:lineRule="auto"/>
      </w:pPr>
      <w:r>
        <w:separator/>
      </w:r>
    </w:p>
  </w:footnote>
  <w:footnote w:type="continuationSeparator" w:id="0">
    <w:p w:rsidR="0093376C" w:rsidRDefault="0093376C" w:rsidP="00E91C08">
      <w:pPr>
        <w:spacing w:after="0" w:line="240" w:lineRule="auto"/>
      </w:pPr>
      <w:r>
        <w:continuationSeparator/>
      </w:r>
    </w:p>
  </w:footnote>
  <w:footnote w:id="1">
    <w:p w:rsidR="0093376C" w:rsidRDefault="0093376C" w:rsidP="00493DF8">
      <w:pPr>
        <w:pStyle w:val="FootnoteText"/>
      </w:pPr>
      <w:r>
        <w:rPr>
          <w:rStyle w:val="FootnoteReference"/>
        </w:rPr>
        <w:t xml:space="preserve"> [1]</w:t>
      </w:r>
      <w:r>
        <w:rPr>
          <w:rStyle w:val="FootnoteReference"/>
          <w:color w:val="000000"/>
          <w:sz w:val="22"/>
          <w:szCs w:val="22"/>
          <w:vertAlign w:val="superscript"/>
        </w:rPr>
        <w:t> § 12ab odst. 4 zákona o dani z nemovitých věcí.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5778F"/>
    <w:multiLevelType w:val="hybridMultilevel"/>
    <w:tmpl w:val="DB1086AE"/>
    <w:lvl w:ilvl="0" w:tplc="621675DC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B9EB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706E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57844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46EE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3037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0621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C204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ABA3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415146B"/>
    <w:multiLevelType w:val="multilevel"/>
    <w:tmpl w:val="16C834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E280C91"/>
    <w:multiLevelType w:val="multilevel"/>
    <w:tmpl w:val="7496F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3A34ADB"/>
    <w:multiLevelType w:val="hybridMultilevel"/>
    <w:tmpl w:val="D1AE854C"/>
    <w:lvl w:ilvl="0" w:tplc="132E162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C7454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01442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9864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C096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6FA22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F0C3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6066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4F49A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C1748E"/>
    <w:multiLevelType w:val="hybridMultilevel"/>
    <w:tmpl w:val="53CE6A68"/>
    <w:lvl w:ilvl="0" w:tplc="B9D8138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1F06D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89CEC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72CD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7CAA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F1CF2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8B28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21678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7000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F330CF2"/>
    <w:multiLevelType w:val="multilevel"/>
    <w:tmpl w:val="7EAAC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0447F38"/>
    <w:multiLevelType w:val="hybridMultilevel"/>
    <w:tmpl w:val="D29EA912"/>
    <w:lvl w:ilvl="0" w:tplc="ACBC4A3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262B7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D4EDE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6EAC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A6CA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7B86A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6E658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2626A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2A60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10E13E1"/>
    <w:multiLevelType w:val="hybridMultilevel"/>
    <w:tmpl w:val="BFB4E0F8"/>
    <w:lvl w:ilvl="0" w:tplc="0CD8FB5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E25A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DB6D4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9BE56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F38DA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A18FF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CB26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D4468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9D87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3">
    <w:abstractNumId w:val="3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4">
    <w:abstractNumId w:val="9"/>
  </w:num>
  <w:num w:numId="5">
    <w:abstractNumId w:val="6"/>
  </w:num>
  <w:num w:numId="6">
    <w:abstractNumId w:val="10"/>
  </w:num>
  <w:num w:numId="7">
    <w:abstractNumId w:val="4"/>
  </w:num>
  <w:num w:numId="8">
    <w:abstractNumId w:val="0"/>
  </w:num>
  <w:num w:numId="9">
    <w:abstractNumId w:val="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0">
    <w:abstractNumId w:val="8"/>
  </w:num>
  <w:num w:numId="11">
    <w:abstractNumId w:val="5"/>
  </w:num>
  <w:num w:numId="12">
    <w:abstractNumId w:val="7"/>
  </w:num>
  <w:num w:numId="13">
    <w:abstractNumId w:val="1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1C08"/>
    <w:rsid w:val="0006222B"/>
    <w:rsid w:val="000F32CD"/>
    <w:rsid w:val="00163E34"/>
    <w:rsid w:val="002658B5"/>
    <w:rsid w:val="003A2310"/>
    <w:rsid w:val="00455CFB"/>
    <w:rsid w:val="00493DF8"/>
    <w:rsid w:val="004C7737"/>
    <w:rsid w:val="005125DC"/>
    <w:rsid w:val="00566387"/>
    <w:rsid w:val="0058096A"/>
    <w:rsid w:val="00694E49"/>
    <w:rsid w:val="007A247E"/>
    <w:rsid w:val="00836C23"/>
    <w:rsid w:val="00864797"/>
    <w:rsid w:val="00885F25"/>
    <w:rsid w:val="0093376C"/>
    <w:rsid w:val="00AB0BAD"/>
    <w:rsid w:val="00AD09A9"/>
    <w:rsid w:val="00B12B30"/>
    <w:rsid w:val="00B17EC2"/>
    <w:rsid w:val="00BD47C3"/>
    <w:rsid w:val="00C863FD"/>
    <w:rsid w:val="00CA2EF2"/>
    <w:rsid w:val="00D8023C"/>
    <w:rsid w:val="00D95D8D"/>
    <w:rsid w:val="00DC59D8"/>
    <w:rsid w:val="00E91C08"/>
    <w:rsid w:val="00F6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C30"/>
    <w:pPr>
      <w:spacing w:after="160" w:line="259" w:lineRule="auto"/>
    </w:pPr>
    <w:rPr>
      <w:kern w:val="2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E91C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91C08"/>
    <w:rPr>
      <w:rFonts w:ascii="Times New Roman" w:hAnsi="Times New Roman" w:cs="Times New Roman"/>
      <w:b/>
      <w:bCs/>
      <w:kern w:val="0"/>
      <w:sz w:val="36"/>
      <w:szCs w:val="36"/>
      <w:lang w:eastAsia="cs-CZ"/>
    </w:rPr>
  </w:style>
  <w:style w:type="paragraph" w:customStyle="1" w:styleId="docdata">
    <w:name w:val="docdata"/>
    <w:aliases w:val="docy,v5,44270,bgiaagaaeseeaaagjqqaaapafwaaa7maaaaftzqaaaaaaaaaaaaaaaaaaaaaaaaaaaaaaaaaaaaaaaaaaaaaaaaaaaaaaaaaaaaaaaaaaaaaaaaaaaaaaaaaaaaaaaaaaaaaaaaaaaaaaaaaaaaaaaaaaaaaaaaaaaaaaaaaaaaaaaaaaaaaaaaaaaaaaaaaaaaaaaaaaaaaaaaaaaaaaaaaaaaaaaaaaaaaaa"/>
    <w:basedOn w:val="Normal"/>
    <w:uiPriority w:val="99"/>
    <w:rsid w:val="00E91C0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styleId="NormalWeb">
    <w:name w:val="Normal (Web)"/>
    <w:basedOn w:val="Normal"/>
    <w:uiPriority w:val="99"/>
    <w:semiHidden/>
    <w:rsid w:val="00E91C0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FootnoteReference">
    <w:name w:val="footnote reference"/>
    <w:basedOn w:val="DefaultParagraphFont"/>
    <w:uiPriority w:val="99"/>
    <w:semiHidden/>
    <w:rsid w:val="00E91C08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E91C0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91C08"/>
    <w:rPr>
      <w:rFonts w:ascii="Times New Roman" w:hAnsi="Times New Roman" w:cs="Times New Roman"/>
      <w:kern w:val="0"/>
      <w:sz w:val="24"/>
      <w:szCs w:val="24"/>
      <w:lang w:eastAsia="cs-CZ"/>
    </w:rPr>
  </w:style>
  <w:style w:type="paragraph" w:styleId="ListParagraph">
    <w:name w:val="List Paragraph"/>
    <w:basedOn w:val="Normal"/>
    <w:uiPriority w:val="99"/>
    <w:qFormat/>
    <w:rsid w:val="004C7737"/>
    <w:pPr>
      <w:spacing w:after="120" w:line="240" w:lineRule="auto"/>
      <w:ind w:left="720"/>
      <w:contextualSpacing/>
      <w:jc w:val="both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26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2</Pages>
  <Words>391</Words>
  <Characters>2311</Characters>
  <Application>Microsoft Office Outlook</Application>
  <DocSecurity>0</DocSecurity>
  <Lines>0</Lines>
  <Paragraphs>0</Paragraphs>
  <ScaleCrop>false</ScaleCrop>
  <Company>GFR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Vrchlabí</dc:title>
  <dc:subject/>
  <dc:creator>Patočková Blanka Ing. (FÚ pro Královéhradecký kraj)</dc:creator>
  <cp:keywords/>
  <dc:description/>
  <cp:lastModifiedBy>Munzarovaeva</cp:lastModifiedBy>
  <cp:revision>6</cp:revision>
  <cp:lastPrinted>2024-09-12T07:13:00Z</cp:lastPrinted>
  <dcterms:created xsi:type="dcterms:W3CDTF">2024-09-12T07:01:00Z</dcterms:created>
  <dcterms:modified xsi:type="dcterms:W3CDTF">2024-09-12T07:14:00Z</dcterms:modified>
</cp:coreProperties>
</file>