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ED0" w14:textId="77777777"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06875062" wp14:editId="1023837D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14:paraId="54A9981B" w14:textId="77777777"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14:paraId="093D15C9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81B9E" wp14:editId="43C841A2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779688F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14:paraId="57ACF3B0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14:paraId="210D9A8E" w14:textId="77777777" w:rsidR="00056F02" w:rsidRPr="00056F02" w:rsidRDefault="00056F02" w:rsidP="00056F02">
      <w:pPr>
        <w:pStyle w:val="Nadpis1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056F02">
        <w:rPr>
          <w:rFonts w:asciiTheme="minorHAnsi" w:hAnsiTheme="minorHAnsi" w:cstheme="minorHAnsi"/>
          <w:b/>
          <w:color w:val="auto"/>
          <w:sz w:val="26"/>
          <w:szCs w:val="26"/>
        </w:rPr>
        <w:t>o místním poplatku z pobytu</w:t>
      </w:r>
    </w:p>
    <w:p w14:paraId="21EEF77B" w14:textId="77777777" w:rsidR="00056F02" w:rsidRDefault="00056F02" w:rsidP="00056F02">
      <w:pPr>
        <w:pStyle w:val="UvodniVeta"/>
        <w:rPr>
          <w:rFonts w:asciiTheme="minorHAnsi" w:hAnsiTheme="minorHAnsi" w:cstheme="minorHAnsi"/>
        </w:rPr>
      </w:pPr>
    </w:p>
    <w:p w14:paraId="6798DE82" w14:textId="0A8E4A9E" w:rsidR="00056F02" w:rsidRPr="005D2E1D" w:rsidRDefault="00056F02" w:rsidP="00056F02">
      <w:pPr>
        <w:pStyle w:val="UvodniVeta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 xml:space="preserve">Zastupitelstvo města Litomyšl se na svém zasedání dne </w:t>
      </w:r>
      <w:r w:rsidR="000E0733">
        <w:rPr>
          <w:rFonts w:asciiTheme="minorHAnsi" w:hAnsiTheme="minorHAnsi" w:cstheme="minorHAnsi"/>
        </w:rPr>
        <w:t>26. června 2025</w:t>
      </w:r>
      <w:r w:rsidR="006F2971">
        <w:rPr>
          <w:rFonts w:asciiTheme="minorHAnsi" w:hAnsiTheme="minorHAnsi" w:cstheme="minorHAnsi"/>
        </w:rPr>
        <w:t xml:space="preserve"> usnesením číslo </w:t>
      </w:r>
      <w:r w:rsidR="00375C85">
        <w:rPr>
          <w:rFonts w:asciiTheme="minorHAnsi" w:hAnsiTheme="minorHAnsi" w:cstheme="minorHAnsi"/>
        </w:rPr>
        <w:t>62/25</w:t>
      </w:r>
      <w:r w:rsidRPr="005D2E1D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9CFD3C" w14:textId="77777777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1</w:t>
      </w:r>
      <w:r w:rsidRPr="00056F02">
        <w:rPr>
          <w:rFonts w:asciiTheme="minorHAnsi" w:hAnsiTheme="minorHAnsi" w:cstheme="minorHAnsi"/>
          <w:b/>
          <w:color w:val="auto"/>
        </w:rPr>
        <w:br/>
        <w:t>Úvodní ustanovení</w:t>
      </w:r>
    </w:p>
    <w:p w14:paraId="17ABE91A" w14:textId="77777777"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Město Litomyšl touto vyhláškou zavádí místní poplatek z pobytu (dále jen „poplatek“).</w:t>
      </w:r>
    </w:p>
    <w:p w14:paraId="391A3920" w14:textId="77777777"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Správcem poplatku je městský úřad</w:t>
      </w:r>
      <w:r w:rsidRPr="005D2E1D">
        <w:rPr>
          <w:rStyle w:val="Znakapoznpodarou"/>
          <w:rFonts w:asciiTheme="minorHAnsi" w:hAnsiTheme="minorHAnsi" w:cstheme="minorHAnsi"/>
        </w:rPr>
        <w:footnoteReference w:id="1"/>
      </w:r>
      <w:r w:rsidRPr="005D2E1D">
        <w:rPr>
          <w:rFonts w:asciiTheme="minorHAnsi" w:hAnsiTheme="minorHAnsi" w:cstheme="minorHAnsi"/>
        </w:rPr>
        <w:t>.</w:t>
      </w:r>
    </w:p>
    <w:p w14:paraId="3E0E60AF" w14:textId="77777777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2</w:t>
      </w:r>
      <w:r w:rsidRPr="00056F02">
        <w:rPr>
          <w:rFonts w:asciiTheme="minorHAnsi" w:hAnsiTheme="minorHAnsi" w:cstheme="minorHAnsi"/>
          <w:b/>
          <w:color w:val="auto"/>
        </w:rPr>
        <w:br/>
        <w:t>Předmět, poplatník a plátce poplatku</w:t>
      </w:r>
    </w:p>
    <w:p w14:paraId="489FEE2B" w14:textId="77777777" w:rsidR="00056F02" w:rsidRPr="005D2E1D" w:rsidRDefault="00056F02" w:rsidP="00056F02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D2E1D">
        <w:rPr>
          <w:rStyle w:val="Znakapoznpodarou"/>
          <w:rFonts w:asciiTheme="minorHAnsi" w:hAnsiTheme="minorHAnsi" w:cstheme="minorHAnsi"/>
        </w:rPr>
        <w:footnoteReference w:id="2"/>
      </w:r>
      <w:r w:rsidRPr="005D2E1D">
        <w:rPr>
          <w:rFonts w:asciiTheme="minorHAnsi" w:hAnsiTheme="minorHAnsi" w:cstheme="minorHAnsi"/>
        </w:rPr>
        <w:t>.</w:t>
      </w:r>
    </w:p>
    <w:p w14:paraId="3A80C43C" w14:textId="77777777"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5D2E1D">
        <w:rPr>
          <w:rStyle w:val="Znakapoznpodarou"/>
          <w:rFonts w:asciiTheme="minorHAnsi" w:hAnsiTheme="minorHAnsi" w:cstheme="minorHAnsi"/>
        </w:rPr>
        <w:footnoteReference w:id="3"/>
      </w:r>
      <w:r w:rsidRPr="005D2E1D">
        <w:rPr>
          <w:rFonts w:asciiTheme="minorHAnsi" w:hAnsiTheme="minorHAnsi" w:cstheme="minorHAnsi"/>
        </w:rPr>
        <w:t>.</w:t>
      </w:r>
    </w:p>
    <w:p w14:paraId="78F4F8C0" w14:textId="77777777"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5D2E1D">
        <w:rPr>
          <w:rStyle w:val="Znakapoznpodarou"/>
          <w:rFonts w:asciiTheme="minorHAnsi" w:hAnsiTheme="minorHAnsi" w:cstheme="minorHAnsi"/>
        </w:rPr>
        <w:footnoteReference w:id="4"/>
      </w:r>
      <w:r w:rsidRPr="005D2E1D">
        <w:rPr>
          <w:rFonts w:asciiTheme="minorHAnsi" w:hAnsiTheme="minorHAnsi" w:cstheme="minorHAnsi"/>
        </w:rPr>
        <w:t>.</w:t>
      </w:r>
    </w:p>
    <w:p w14:paraId="68F7DE7A" w14:textId="77777777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3</w:t>
      </w:r>
      <w:r w:rsidRPr="00056F02">
        <w:rPr>
          <w:rFonts w:asciiTheme="minorHAnsi" w:hAnsiTheme="minorHAnsi" w:cstheme="minorHAnsi"/>
          <w:b/>
          <w:color w:val="auto"/>
        </w:rPr>
        <w:br/>
        <w:t>Ohlašovací povinnost</w:t>
      </w:r>
    </w:p>
    <w:p w14:paraId="081ECA90" w14:textId="77777777" w:rsidR="00056F02" w:rsidRPr="005D2E1D" w:rsidRDefault="00056F02" w:rsidP="00056F02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>Plátce je povinen podat správci poplatku ohlášení nejpozději do 30 dnů</w:t>
      </w:r>
      <w:r w:rsidRPr="005D2E1D">
        <w:rPr>
          <w:rFonts w:asciiTheme="minorHAnsi" w:hAnsiTheme="minorHAnsi" w:cstheme="minorHAnsi"/>
        </w:rPr>
        <w:t xml:space="preserve"> od zahájení činnosti spočívající v poskytování úplatného pobytu; údaje uváděné v ohlášení upravuje zákon</w:t>
      </w:r>
      <w:r w:rsidRPr="005D2E1D">
        <w:rPr>
          <w:rStyle w:val="Znakapoznpodarou"/>
          <w:rFonts w:asciiTheme="minorHAnsi" w:hAnsiTheme="minorHAnsi" w:cstheme="minorHAnsi"/>
        </w:rPr>
        <w:footnoteReference w:id="5"/>
      </w:r>
      <w:r w:rsidRPr="005D2E1D">
        <w:rPr>
          <w:rFonts w:asciiTheme="minorHAnsi" w:hAnsiTheme="minorHAnsi" w:cstheme="minorHAnsi"/>
        </w:rPr>
        <w:t>.</w:t>
      </w:r>
    </w:p>
    <w:p w14:paraId="204D9A6E" w14:textId="77777777"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 xml:space="preserve">Dojde-li ke změně údajů uvedených v ohlášení, je plátce povinen tuto změnu oznámit do 30 dnů </w:t>
      </w:r>
      <w:r w:rsidRPr="005D2E1D">
        <w:rPr>
          <w:rFonts w:asciiTheme="minorHAnsi" w:hAnsiTheme="minorHAnsi" w:cstheme="minorHAnsi"/>
        </w:rPr>
        <w:t>ode dne, kdy nastala</w:t>
      </w:r>
      <w:r w:rsidRPr="005D2E1D">
        <w:rPr>
          <w:rStyle w:val="Znakapoznpodarou"/>
          <w:rFonts w:asciiTheme="minorHAnsi" w:hAnsiTheme="minorHAnsi" w:cstheme="minorHAnsi"/>
        </w:rPr>
        <w:footnoteReference w:id="6"/>
      </w:r>
      <w:r w:rsidRPr="005D2E1D">
        <w:rPr>
          <w:rFonts w:asciiTheme="minorHAnsi" w:hAnsiTheme="minorHAnsi" w:cstheme="minorHAnsi"/>
        </w:rPr>
        <w:t>.</w:t>
      </w:r>
    </w:p>
    <w:p w14:paraId="5C2A3691" w14:textId="77777777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4</w:t>
      </w:r>
      <w:r w:rsidRPr="00056F02">
        <w:rPr>
          <w:rFonts w:asciiTheme="minorHAnsi" w:hAnsiTheme="minorHAnsi" w:cstheme="minorHAnsi"/>
          <w:b/>
          <w:color w:val="auto"/>
        </w:rPr>
        <w:br/>
        <w:t>Evidenční povinnost</w:t>
      </w:r>
      <w:r w:rsidRPr="00056F02">
        <w:rPr>
          <w:rStyle w:val="Znakapoznpodarou"/>
          <w:rFonts w:asciiTheme="minorHAnsi" w:hAnsiTheme="minorHAnsi" w:cstheme="minorHAnsi"/>
          <w:b/>
          <w:color w:val="auto"/>
        </w:rPr>
        <w:footnoteReference w:id="7"/>
      </w:r>
    </w:p>
    <w:p w14:paraId="5A7C32E3" w14:textId="77777777" w:rsidR="00056F02" w:rsidRPr="00C0654F" w:rsidRDefault="00056F02" w:rsidP="00056F02">
      <w:pPr>
        <w:pStyle w:val="FirstParagraph"/>
        <w:rPr>
          <w:rFonts w:asciiTheme="minorHAnsi" w:hAnsiTheme="minorHAnsi" w:cstheme="minorHAnsi"/>
          <w:sz w:val="22"/>
          <w:szCs w:val="22"/>
          <w:lang w:val="cs-CZ"/>
        </w:rPr>
      </w:pPr>
      <w:r w:rsidRPr="00C0654F">
        <w:rPr>
          <w:rFonts w:asciiTheme="minorHAnsi" w:hAnsiTheme="minorHAnsi" w:cstheme="minorHAnsi"/>
          <w:sz w:val="22"/>
          <w:szCs w:val="22"/>
          <w:lang w:val="cs-CZ"/>
        </w:rPr>
        <w:t>(1) 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69B922FA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(2) Údaji podle odstavce 1 jsou</w:t>
      </w:r>
    </w:p>
    <w:p w14:paraId="7E7FBBF7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a) den počátku a den konce pobytu,</w:t>
      </w:r>
    </w:p>
    <w:p w14:paraId="055AE932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b) jméno, popřípadě jména, příjmení a adresa místa přihlášení nebo obdobného místa v zahraničí,</w:t>
      </w:r>
    </w:p>
    <w:p w14:paraId="0BB0DD63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c) datum narození,</w:t>
      </w:r>
    </w:p>
    <w:p w14:paraId="1B29D79D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d) číslo a druh průkazu totožnosti, kterým může být</w:t>
      </w:r>
    </w:p>
    <w:p w14:paraId="2F4161CD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1. občanský průkaz,</w:t>
      </w:r>
    </w:p>
    <w:p w14:paraId="7A51BF0D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2. cestovní doklad,</w:t>
      </w:r>
    </w:p>
    <w:p w14:paraId="2D1B3DCD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3. potvrzení o přechodném pobytu na území,</w:t>
      </w:r>
    </w:p>
    <w:p w14:paraId="091EA07E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4. pobytová karta rodinného příslušníka občana Evropské unie,</w:t>
      </w:r>
    </w:p>
    <w:p w14:paraId="76FFAC08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5. průkaz o povolení k pobytu,</w:t>
      </w:r>
    </w:p>
    <w:p w14:paraId="497799D4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6. průkaz o povolení k pobytu pro cizince,</w:t>
      </w:r>
    </w:p>
    <w:p w14:paraId="0C553BA7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7. průkaz o povolení k trvalému pobytu,</w:t>
      </w:r>
    </w:p>
    <w:p w14:paraId="3CDE1CC8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8. průkaz žadatele o udělení mezinárodní ochrany, nebo</w:t>
      </w:r>
    </w:p>
    <w:p w14:paraId="3002F774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9. průkaz žadatele o poskytnutí dočasné ochrany, a</w:t>
      </w:r>
    </w:p>
    <w:p w14:paraId="7CDBEBF6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e) výše vybraného poplatku, nebo důvod osvobození od poplatku.</w:t>
      </w:r>
    </w:p>
    <w:p w14:paraId="1BF83FDE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(3) Zápisy do evidenční knihy musí být vedeny správně, úplně, průkazně, přehledně, srozumitelně, způsobem zaručujícím trvalost zápisů a musí být uspořádány postupně z časového hlediska.</w:t>
      </w:r>
    </w:p>
    <w:p w14:paraId="1DB6F919" w14:textId="77777777"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(4) Plátce poplatku je povinen uchovávat evidenční knihu po dobu 6 let ode dne provedení posledního zápisu.</w:t>
      </w:r>
    </w:p>
    <w:p w14:paraId="0F7EF892" w14:textId="77777777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5</w:t>
      </w:r>
      <w:r w:rsidRPr="00056F02">
        <w:rPr>
          <w:rFonts w:asciiTheme="minorHAnsi" w:hAnsiTheme="minorHAnsi" w:cstheme="minorHAnsi"/>
          <w:b/>
          <w:color w:val="auto"/>
        </w:rPr>
        <w:br/>
        <w:t>Sazba poplatku</w:t>
      </w:r>
    </w:p>
    <w:p w14:paraId="1512AD44" w14:textId="54E9D7FF"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375C85">
        <w:rPr>
          <w:rFonts w:asciiTheme="minorHAnsi" w:hAnsiTheme="minorHAnsi" w:cstheme="minorHAnsi"/>
        </w:rPr>
        <w:t>Sazba poplatku činí</w:t>
      </w:r>
      <w:r w:rsidR="000E0733" w:rsidRPr="00375C85">
        <w:rPr>
          <w:rFonts w:asciiTheme="minorHAnsi" w:hAnsiTheme="minorHAnsi" w:cstheme="minorHAnsi"/>
        </w:rPr>
        <w:t xml:space="preserve"> 50</w:t>
      </w:r>
      <w:r w:rsidRPr="00375C85">
        <w:rPr>
          <w:rFonts w:asciiTheme="minorHAnsi" w:hAnsiTheme="minorHAnsi" w:cstheme="minorHAnsi"/>
        </w:rPr>
        <w:t xml:space="preserve"> Kč</w:t>
      </w:r>
      <w:r w:rsidRPr="005D2E1D">
        <w:rPr>
          <w:rFonts w:asciiTheme="minorHAnsi" w:hAnsiTheme="minorHAnsi" w:cstheme="minorHAnsi"/>
        </w:rPr>
        <w:t xml:space="preserve"> za každý započatý den pobytu, s výjimkou dne počátku pobytu.</w:t>
      </w:r>
    </w:p>
    <w:p w14:paraId="088DD456" w14:textId="77777777"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14:paraId="300D3846" w14:textId="7AC873F2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 xml:space="preserve">Čl. </w:t>
      </w:r>
      <w:r w:rsidR="006C1A9A">
        <w:rPr>
          <w:rFonts w:asciiTheme="minorHAnsi" w:hAnsiTheme="minorHAnsi" w:cstheme="minorHAnsi"/>
          <w:b/>
          <w:color w:val="auto"/>
        </w:rPr>
        <w:t>6</w:t>
      </w:r>
      <w:r w:rsidRPr="00056F02">
        <w:rPr>
          <w:rFonts w:asciiTheme="minorHAnsi" w:hAnsiTheme="minorHAnsi" w:cstheme="minorHAnsi"/>
          <w:b/>
          <w:color w:val="auto"/>
        </w:rPr>
        <w:br/>
        <w:t>Splatnost poplatku</w:t>
      </w:r>
    </w:p>
    <w:p w14:paraId="2B84FB4C" w14:textId="77777777" w:rsidR="00C15DED" w:rsidRDefault="00056F02" w:rsidP="00C15DED">
      <w:pPr>
        <w:pStyle w:val="Odstavec"/>
        <w:jc w:val="left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 odvede vybraný poplatek správci poplatku nejpozději do 15. dne následujícího roku.</w:t>
      </w:r>
      <w:r w:rsidR="00D3395F">
        <w:rPr>
          <w:rFonts w:asciiTheme="minorHAnsi" w:hAnsiTheme="minorHAnsi" w:cstheme="minorHAnsi"/>
        </w:rPr>
        <w:br/>
      </w:r>
      <w:r w:rsidR="00D3395F">
        <w:rPr>
          <w:rFonts w:asciiTheme="minorHAnsi" w:hAnsiTheme="minorHAnsi" w:cstheme="minorHAnsi"/>
        </w:rPr>
        <w:br/>
      </w:r>
    </w:p>
    <w:p w14:paraId="28C973ED" w14:textId="77777777" w:rsidR="00C15DED" w:rsidRDefault="00C15DED" w:rsidP="00C15DED">
      <w:pPr>
        <w:pStyle w:val="Odstavec"/>
        <w:jc w:val="left"/>
        <w:rPr>
          <w:rFonts w:asciiTheme="minorHAnsi" w:hAnsiTheme="minorHAnsi" w:cstheme="minorHAnsi"/>
        </w:rPr>
      </w:pPr>
    </w:p>
    <w:p w14:paraId="59DD9D6B" w14:textId="42305EE4" w:rsidR="00056F02" w:rsidRPr="00C15DED" w:rsidRDefault="00056F02" w:rsidP="00C15DED">
      <w:pPr>
        <w:pStyle w:val="Odstavec"/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r w:rsidRPr="00C15DED">
        <w:rPr>
          <w:rFonts w:asciiTheme="minorHAnsi" w:hAnsiTheme="minorHAnsi" w:cstheme="minorHAnsi"/>
          <w:b/>
          <w:sz w:val="26"/>
          <w:szCs w:val="26"/>
        </w:rPr>
        <w:t xml:space="preserve">Čl. </w:t>
      </w:r>
      <w:r w:rsidR="006C1A9A" w:rsidRPr="00C15DED">
        <w:rPr>
          <w:rFonts w:asciiTheme="minorHAnsi" w:hAnsiTheme="minorHAnsi" w:cstheme="minorHAnsi"/>
          <w:b/>
          <w:sz w:val="26"/>
          <w:szCs w:val="26"/>
        </w:rPr>
        <w:t>7</w:t>
      </w:r>
      <w:r w:rsidR="00C15DED">
        <w:rPr>
          <w:rFonts w:asciiTheme="minorHAnsi" w:hAnsiTheme="minorHAnsi" w:cstheme="minorHAnsi"/>
          <w:b/>
          <w:sz w:val="26"/>
          <w:szCs w:val="26"/>
        </w:rPr>
        <w:br/>
      </w:r>
      <w:r w:rsidRPr="00C15DED">
        <w:rPr>
          <w:rFonts w:asciiTheme="minorHAnsi" w:hAnsiTheme="minorHAnsi" w:cstheme="minorHAnsi"/>
          <w:b/>
          <w:sz w:val="26"/>
          <w:szCs w:val="26"/>
        </w:rPr>
        <w:t>Osvobození</w:t>
      </w:r>
      <w:r w:rsidR="000758E9" w:rsidRPr="00C15DED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customMarkFollows="1" w:id="8"/>
        <w:t>8</w:t>
      </w:r>
    </w:p>
    <w:p w14:paraId="25ECEDE3" w14:textId="77777777" w:rsidR="00056F02" w:rsidRPr="00A35FC9" w:rsidRDefault="00056F02" w:rsidP="00C15DED">
      <w:pPr>
        <w:pStyle w:val="FirstParagraph"/>
        <w:spacing w:before="0"/>
        <w:rPr>
          <w:rFonts w:asciiTheme="minorHAnsi" w:hAnsiTheme="minorHAnsi" w:cstheme="minorHAnsi"/>
          <w:sz w:val="22"/>
          <w:szCs w:val="22"/>
          <w:lang w:val="cs-CZ"/>
        </w:rPr>
      </w:pPr>
      <w:r w:rsidRPr="00A35FC9">
        <w:rPr>
          <w:rFonts w:asciiTheme="minorHAnsi" w:hAnsiTheme="minorHAnsi" w:cstheme="minorHAnsi"/>
          <w:sz w:val="22"/>
          <w:szCs w:val="22"/>
          <w:lang w:val="cs-CZ"/>
        </w:rPr>
        <w:t>(1) Od poplatku z pobytu je osvobozena osoba</w:t>
      </w:r>
    </w:p>
    <w:p w14:paraId="0D6ED30B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6FA2FB99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b) mladší 18 let,</w:t>
      </w:r>
    </w:p>
    <w:p w14:paraId="5A9B1C09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c) hospitalizovaná na území obce ve zdravotnickém zařízení poskytovatele lůžkové péče s výjimkou osoby, které je poskytována lázeňská léčebně rehabilitační péče,</w:t>
      </w:r>
    </w:p>
    <w:p w14:paraId="0B8F5E10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d) pečující o děti na zotavovací akci nebo jiné podobné akci pro děti podle zákona upravujícího ochranu veřejného zdraví konaných na území obce,</w:t>
      </w:r>
    </w:p>
    <w:p w14:paraId="161848A8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e) vykonávající na území obce sezónní práci pro právnickou nebo podnikající fyzickou osobu nebo</w:t>
      </w:r>
    </w:p>
    <w:p w14:paraId="3CA81B64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f) pobývající na území obce</w:t>
      </w:r>
    </w:p>
    <w:p w14:paraId="182F9450" w14:textId="77777777" w:rsidR="00056F02" w:rsidRPr="00A35FC9" w:rsidRDefault="00056F02" w:rsidP="00375C85">
      <w:pPr>
        <w:pStyle w:val="Zkladntext"/>
        <w:spacing w:after="0"/>
        <w:rPr>
          <w:rFonts w:cstheme="minorHAnsi"/>
        </w:rPr>
      </w:pPr>
      <w:r w:rsidRPr="00A35FC9">
        <w:rPr>
          <w:rFonts w:cstheme="minorHAnsi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74597163" w14:textId="77777777" w:rsidR="00056F02" w:rsidRPr="00A35FC9" w:rsidRDefault="00056F02" w:rsidP="00375C85">
      <w:pPr>
        <w:pStyle w:val="Zkladntext"/>
        <w:spacing w:after="0"/>
        <w:rPr>
          <w:rFonts w:cstheme="minorHAnsi"/>
        </w:rPr>
      </w:pPr>
      <w:r w:rsidRPr="00A35FC9">
        <w:rPr>
          <w:rFonts w:cstheme="minorHAnsi"/>
        </w:rPr>
        <w:t>2. v zařízení poskytujícím ubytování podle zákona upravujícího sociální služby,</w:t>
      </w:r>
    </w:p>
    <w:p w14:paraId="265FE93D" w14:textId="77777777" w:rsidR="00056F02" w:rsidRPr="00A35FC9" w:rsidRDefault="00056F02" w:rsidP="00375C85">
      <w:pPr>
        <w:pStyle w:val="Zkladntext"/>
        <w:spacing w:after="0"/>
        <w:rPr>
          <w:rFonts w:cstheme="minorHAnsi"/>
        </w:rPr>
      </w:pPr>
      <w:r w:rsidRPr="00A35FC9">
        <w:rPr>
          <w:rFonts w:cstheme="minorHAnsi"/>
        </w:rPr>
        <w:t>3. v zařízení sloužícím k pomoci lidem v ohrožení nebo nouzi provozovaném veřejně prospěšným poplatníkem daně z příjmů právnických osob, nebo</w:t>
      </w:r>
    </w:p>
    <w:p w14:paraId="48838FD1" w14:textId="77777777" w:rsidR="00056F02" w:rsidRPr="00A35FC9" w:rsidRDefault="00056F02" w:rsidP="00D3395F">
      <w:pPr>
        <w:pStyle w:val="Zkladntext"/>
        <w:rPr>
          <w:rFonts w:cstheme="minorHAnsi"/>
        </w:rPr>
      </w:pPr>
      <w:r w:rsidRPr="00A35FC9">
        <w:rPr>
          <w:rFonts w:cstheme="minorHAnsi"/>
        </w:rPr>
        <w:t>4. za účelem výkonu záchranných nebo likvidačních prací podle zákona o integrovaném záchranném systému.</w:t>
      </w:r>
    </w:p>
    <w:p w14:paraId="7A3129C7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4B1CA3DD" w14:textId="77777777"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(3) Sezónní prací podle odstavce 1 písm. e) je práce, která je závislá na střídání ročních období a zpravidla se každým rokem opakuje.</w:t>
      </w:r>
    </w:p>
    <w:p w14:paraId="098CE31C" w14:textId="7A811070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 xml:space="preserve">Čl. </w:t>
      </w:r>
      <w:r w:rsidR="006C1A9A">
        <w:rPr>
          <w:rFonts w:asciiTheme="minorHAnsi" w:hAnsiTheme="minorHAnsi" w:cstheme="minorHAnsi"/>
          <w:b/>
          <w:color w:val="auto"/>
        </w:rPr>
        <w:t>8</w:t>
      </w:r>
      <w:r w:rsidRPr="00056F02">
        <w:rPr>
          <w:rFonts w:asciiTheme="minorHAnsi" w:hAnsiTheme="minorHAnsi" w:cstheme="minorHAnsi"/>
          <w:b/>
          <w:color w:val="auto"/>
        </w:rPr>
        <w:br/>
        <w:t xml:space="preserve"> Přechodné a zrušovací ustanovení</w:t>
      </w:r>
    </w:p>
    <w:p w14:paraId="7CF15DD8" w14:textId="77777777" w:rsidR="00056F02" w:rsidRPr="005D2E1D" w:rsidRDefault="00056F02" w:rsidP="00056F02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52AA1BE8" w14:textId="7AA885FF" w:rsidR="00056F02" w:rsidRPr="005D2E1D" w:rsidRDefault="00056F02" w:rsidP="002F381F">
      <w:pPr>
        <w:pStyle w:val="Odstavec"/>
        <w:numPr>
          <w:ilvl w:val="0"/>
          <w:numId w:val="8"/>
        </w:numPr>
        <w:spacing w:after="360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 xml:space="preserve">Zrušuje se Obecně závazná vyhláška města Litomyšl o místním poplatku z pobytu ze dne </w:t>
      </w:r>
      <w:r w:rsidR="00D653D4">
        <w:rPr>
          <w:rFonts w:asciiTheme="minorHAnsi" w:hAnsiTheme="minorHAnsi" w:cstheme="minorHAnsi"/>
        </w:rPr>
        <w:t>7</w:t>
      </w:r>
      <w:r w:rsidRPr="005D2E1D">
        <w:rPr>
          <w:rFonts w:asciiTheme="minorHAnsi" w:hAnsiTheme="minorHAnsi" w:cstheme="minorHAnsi"/>
        </w:rPr>
        <w:t>. prosince 202</w:t>
      </w:r>
      <w:r w:rsidR="00D653D4">
        <w:rPr>
          <w:rFonts w:asciiTheme="minorHAnsi" w:hAnsiTheme="minorHAnsi" w:cstheme="minorHAnsi"/>
        </w:rPr>
        <w:t>3</w:t>
      </w:r>
      <w:r w:rsidR="006F2971">
        <w:rPr>
          <w:rFonts w:asciiTheme="minorHAnsi" w:hAnsiTheme="minorHAnsi" w:cstheme="minorHAnsi"/>
        </w:rPr>
        <w:t xml:space="preserve">, číslo právního předpisu </w:t>
      </w:r>
      <w:r w:rsidR="00D653D4">
        <w:rPr>
          <w:rFonts w:asciiTheme="minorHAnsi" w:hAnsiTheme="minorHAnsi" w:cstheme="minorHAnsi"/>
        </w:rPr>
        <w:t>2/2023</w:t>
      </w:r>
      <w:r w:rsidRPr="005D2E1D">
        <w:rPr>
          <w:rFonts w:asciiTheme="minorHAnsi" w:hAnsiTheme="minorHAnsi" w:cstheme="minorHAnsi"/>
        </w:rPr>
        <w:t>.</w:t>
      </w:r>
    </w:p>
    <w:p w14:paraId="62FD779C" w14:textId="26D5BB39"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 xml:space="preserve">Čl. </w:t>
      </w:r>
      <w:r w:rsidR="006C1A9A">
        <w:rPr>
          <w:rFonts w:asciiTheme="minorHAnsi" w:hAnsiTheme="minorHAnsi" w:cstheme="minorHAnsi"/>
          <w:b/>
          <w:color w:val="auto"/>
        </w:rPr>
        <w:t>9</w:t>
      </w:r>
      <w:r w:rsidR="002F381F">
        <w:rPr>
          <w:rFonts w:asciiTheme="minorHAnsi" w:hAnsiTheme="minorHAnsi" w:cstheme="minorHAnsi"/>
          <w:b/>
          <w:color w:val="auto"/>
        </w:rPr>
        <w:t xml:space="preserve">   </w:t>
      </w:r>
      <w:r w:rsidRPr="00056F02">
        <w:rPr>
          <w:rFonts w:asciiTheme="minorHAnsi" w:hAnsiTheme="minorHAnsi" w:cstheme="minorHAnsi"/>
          <w:b/>
          <w:color w:val="auto"/>
        </w:rPr>
        <w:t>Účinnost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6F02" w:rsidRPr="005D2E1D" w14:paraId="2377A5AB" w14:textId="77777777" w:rsidTr="00D3395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205E7" w14:textId="1338989C"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>Tato vyhláška nabývá účinnosti dnem 1. ledna 202</w:t>
            </w:r>
            <w:r w:rsidR="000E0733">
              <w:rPr>
                <w:rFonts w:asciiTheme="minorHAnsi" w:hAnsiTheme="minorHAnsi" w:cstheme="minorHAnsi"/>
              </w:rPr>
              <w:t>6</w:t>
            </w:r>
            <w:r w:rsidRPr="005D2E1D">
              <w:rPr>
                <w:rFonts w:asciiTheme="minorHAnsi" w:hAnsiTheme="minorHAnsi" w:cstheme="minorHAnsi"/>
              </w:rPr>
              <w:t>.</w:t>
            </w:r>
            <w:r w:rsidR="00D3395F">
              <w:rPr>
                <w:rFonts w:asciiTheme="minorHAnsi" w:hAnsiTheme="minorHAnsi" w:cstheme="minorHAnsi"/>
              </w:rPr>
              <w:br/>
            </w:r>
            <w:r w:rsidR="00D3395F">
              <w:rPr>
                <w:rFonts w:asciiTheme="minorHAnsi" w:hAnsiTheme="minorHAnsi" w:cstheme="minorHAnsi"/>
              </w:rPr>
              <w:br/>
            </w:r>
            <w:r w:rsidRPr="005D2E1D">
              <w:rPr>
                <w:rFonts w:asciiTheme="minorHAnsi" w:hAnsiTheme="minorHAnsi" w:cstheme="minorHAnsi"/>
              </w:rPr>
              <w:t>Mgr. Daniel Brýdl, LL.M.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97197" w14:textId="77777777"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>Radomil Kašpar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0F8F4644" w14:textId="77777777"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9"/>
      <w:footerReference w:type="default" r:id="rId10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3A22" w14:textId="77777777"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14:paraId="5B032432" w14:textId="77777777"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11C1" w14:textId="77777777"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317859E2" wp14:editId="711CFB7B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056F02">
      <w:rPr>
        <w:sz w:val="18"/>
        <w:szCs w:val="16"/>
      </w:rPr>
      <w:t>místním poplatku z pobytu</w:t>
    </w:r>
  </w:p>
  <w:p w14:paraId="1E9DEFE2" w14:textId="5ABA06EC"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</w:t>
    </w:r>
    <w:r w:rsidR="000E0733">
      <w:rPr>
        <w:sz w:val="18"/>
        <w:szCs w:val="16"/>
      </w:rPr>
      <w:t xml:space="preserve"> 26. 6. 2025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2D6352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2D6352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8BD7" w14:textId="77777777"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14:paraId="10F3A6C5" w14:textId="77777777"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14:paraId="7FE8895A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15 odst. 1 zákona o místních poplatcích</w:t>
      </w:r>
    </w:p>
  </w:footnote>
  <w:footnote w:id="2">
    <w:p w14:paraId="16EA42A6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3a zákona o místních poplatcích</w:t>
      </w:r>
    </w:p>
  </w:footnote>
  <w:footnote w:id="3">
    <w:p w14:paraId="340BA502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 zákona o místních poplatcích</w:t>
      </w:r>
    </w:p>
  </w:footnote>
  <w:footnote w:id="4">
    <w:p w14:paraId="3DC61B3D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3f zákona o místních poplatcích</w:t>
      </w:r>
    </w:p>
  </w:footnote>
  <w:footnote w:id="5">
    <w:p w14:paraId="740FC102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1B6C5F5E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4 zákona o místních poplatcích</w:t>
      </w:r>
    </w:p>
  </w:footnote>
  <w:footnote w:id="7">
    <w:p w14:paraId="27935385" w14:textId="77777777"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3g zákona o místních poplatcích</w:t>
      </w:r>
    </w:p>
  </w:footnote>
  <w:footnote w:id="8">
    <w:p w14:paraId="6D6FF5AE" w14:textId="1E8737D4" w:rsidR="000758E9" w:rsidRPr="000758E9" w:rsidRDefault="000758E9" w:rsidP="000758E9">
      <w:pPr>
        <w:pStyle w:val="Footnote"/>
        <w:ind w:left="0" w:firstLine="0"/>
        <w:rPr>
          <w:rFonts w:asciiTheme="minorHAnsi" w:hAnsiTheme="minorHAnsi" w:cstheme="minorHAnsi"/>
        </w:rPr>
      </w:pPr>
      <w:r w:rsidRPr="000758E9">
        <w:rPr>
          <w:rStyle w:val="Znakapoznpodarou"/>
          <w:rFonts w:asciiTheme="minorHAnsi" w:eastAsia="Times New Roman" w:hAnsiTheme="minorHAnsi" w:cstheme="minorHAnsi"/>
          <w:noProof/>
          <w:kern w:val="0"/>
          <w:lang w:eastAsia="cs-CZ" w:bidi="ar-SA"/>
        </w:rPr>
        <w:t>8</w:t>
      </w:r>
      <w:r w:rsidRPr="000758E9">
        <w:rPr>
          <w:rFonts w:asciiTheme="minorHAnsi" w:hAnsiTheme="minorHAnsi" w:cstheme="minorHAnsi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E04" w14:textId="77777777"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F4C20D" wp14:editId="54C555C5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14:paraId="5792B283" w14:textId="77777777" w:rsidR="00CD346E" w:rsidRDefault="00CD346E" w:rsidP="00CD346E">
    <w:pPr>
      <w:pStyle w:val="Zhlav"/>
      <w:jc w:val="right"/>
    </w:pPr>
    <w:r>
      <w:t>Zastupitelstvo města</w:t>
    </w:r>
  </w:p>
  <w:p w14:paraId="31D73B3C" w14:textId="77777777" w:rsidR="00CD346E" w:rsidRDefault="00CD346E">
    <w:pPr>
      <w:pStyle w:val="Zhlav"/>
    </w:pPr>
  </w:p>
  <w:p w14:paraId="29083900" w14:textId="77777777"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900A04"/>
    <w:multiLevelType w:val="multilevel"/>
    <w:tmpl w:val="CF14B5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1820755">
    <w:abstractNumId w:val="6"/>
  </w:num>
  <w:num w:numId="2" w16cid:durableId="1348167550">
    <w:abstractNumId w:val="4"/>
  </w:num>
  <w:num w:numId="3" w16cid:durableId="1067411500">
    <w:abstractNumId w:val="5"/>
  </w:num>
  <w:num w:numId="4" w16cid:durableId="333650761">
    <w:abstractNumId w:val="0"/>
  </w:num>
  <w:num w:numId="5" w16cid:durableId="1558660220">
    <w:abstractNumId w:val="2"/>
  </w:num>
  <w:num w:numId="6" w16cid:durableId="2043478826">
    <w:abstractNumId w:val="3"/>
  </w:num>
  <w:num w:numId="7" w16cid:durableId="413817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9630">
    <w:abstractNumId w:val="1"/>
  </w:num>
  <w:num w:numId="9" w16cid:durableId="603729313">
    <w:abstractNumId w:val="1"/>
    <w:lvlOverride w:ilvl="0">
      <w:startOverride w:val="1"/>
    </w:lvlOverride>
  </w:num>
  <w:num w:numId="10" w16cid:durableId="716009306">
    <w:abstractNumId w:val="1"/>
    <w:lvlOverride w:ilvl="0">
      <w:startOverride w:val="1"/>
    </w:lvlOverride>
  </w:num>
  <w:num w:numId="11" w16cid:durableId="2485435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E"/>
    <w:rsid w:val="00056F02"/>
    <w:rsid w:val="000758E9"/>
    <w:rsid w:val="000E0733"/>
    <w:rsid w:val="000F2613"/>
    <w:rsid w:val="000F4C29"/>
    <w:rsid w:val="0014663A"/>
    <w:rsid w:val="0015248D"/>
    <w:rsid w:val="001966AB"/>
    <w:rsid w:val="001C1361"/>
    <w:rsid w:val="001D2FE0"/>
    <w:rsid w:val="001E23E8"/>
    <w:rsid w:val="00243DB0"/>
    <w:rsid w:val="002A0937"/>
    <w:rsid w:val="002A4053"/>
    <w:rsid w:val="002D6352"/>
    <w:rsid w:val="002F381F"/>
    <w:rsid w:val="0036563F"/>
    <w:rsid w:val="00375C85"/>
    <w:rsid w:val="00400DF1"/>
    <w:rsid w:val="0041672C"/>
    <w:rsid w:val="0058385B"/>
    <w:rsid w:val="00661260"/>
    <w:rsid w:val="00694074"/>
    <w:rsid w:val="006C1A9A"/>
    <w:rsid w:val="006E780A"/>
    <w:rsid w:val="006F2971"/>
    <w:rsid w:val="00700041"/>
    <w:rsid w:val="007000F6"/>
    <w:rsid w:val="00723051"/>
    <w:rsid w:val="00743584"/>
    <w:rsid w:val="007478BE"/>
    <w:rsid w:val="00751684"/>
    <w:rsid w:val="007F7A8F"/>
    <w:rsid w:val="00850E88"/>
    <w:rsid w:val="008954CB"/>
    <w:rsid w:val="00896838"/>
    <w:rsid w:val="008A12D8"/>
    <w:rsid w:val="008E2A58"/>
    <w:rsid w:val="0091022F"/>
    <w:rsid w:val="009F04F9"/>
    <w:rsid w:val="00A42BCD"/>
    <w:rsid w:val="00A824A4"/>
    <w:rsid w:val="00AB0C6D"/>
    <w:rsid w:val="00AB18A9"/>
    <w:rsid w:val="00AD2186"/>
    <w:rsid w:val="00AE3409"/>
    <w:rsid w:val="00AE6FD8"/>
    <w:rsid w:val="00B04247"/>
    <w:rsid w:val="00B67045"/>
    <w:rsid w:val="00BA2495"/>
    <w:rsid w:val="00BB1D77"/>
    <w:rsid w:val="00C07476"/>
    <w:rsid w:val="00C15DED"/>
    <w:rsid w:val="00C5511E"/>
    <w:rsid w:val="00C622C8"/>
    <w:rsid w:val="00C665CC"/>
    <w:rsid w:val="00C7618A"/>
    <w:rsid w:val="00C81984"/>
    <w:rsid w:val="00C95ABA"/>
    <w:rsid w:val="00CC53CC"/>
    <w:rsid w:val="00CD346E"/>
    <w:rsid w:val="00CF3501"/>
    <w:rsid w:val="00D3395F"/>
    <w:rsid w:val="00D653D4"/>
    <w:rsid w:val="00D76A12"/>
    <w:rsid w:val="00DB2ADC"/>
    <w:rsid w:val="00E60331"/>
    <w:rsid w:val="00EB1A12"/>
    <w:rsid w:val="00EC5DAA"/>
    <w:rsid w:val="00EE1F52"/>
    <w:rsid w:val="00EE29AE"/>
    <w:rsid w:val="00F0565C"/>
    <w:rsid w:val="00F07422"/>
    <w:rsid w:val="00F100B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0C923B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5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F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6F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6F02"/>
  </w:style>
  <w:style w:type="paragraph" w:customStyle="1" w:styleId="UvodniVeta">
    <w:name w:val="UvodniVeta"/>
    <w:basedOn w:val="Normln"/>
    <w:rsid w:val="00056F0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56F0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056F0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56F0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FirstParagraph">
    <w:name w:val="First Paragraph"/>
    <w:basedOn w:val="Zkladntext"/>
    <w:next w:val="Zkladntext"/>
    <w:qFormat/>
    <w:rsid w:val="00056F02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paragraph" w:styleId="Revize">
    <w:name w:val="Revision"/>
    <w:hidden/>
    <w:uiPriority w:val="99"/>
    <w:semiHidden/>
    <w:rsid w:val="000E0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D149-F385-4F63-B314-87942E7D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Valentová Jitka</cp:lastModifiedBy>
  <cp:revision>23</cp:revision>
  <cp:lastPrinted>2022-12-09T12:46:00Z</cp:lastPrinted>
  <dcterms:created xsi:type="dcterms:W3CDTF">2023-12-07T13:38:00Z</dcterms:created>
  <dcterms:modified xsi:type="dcterms:W3CDTF">2025-07-08T13:57:00Z</dcterms:modified>
</cp:coreProperties>
</file>