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F276" w14:textId="77777777" w:rsidR="001C38F5" w:rsidRPr="005A5342" w:rsidRDefault="001C38F5" w:rsidP="001C38F5">
      <w:pPr>
        <w:pStyle w:val="Zkladntext30"/>
        <w:shd w:val="clear" w:color="auto" w:fill="auto"/>
        <w:tabs>
          <w:tab w:val="left" w:leader="dot" w:pos="6638"/>
        </w:tabs>
        <w:spacing w:before="0"/>
        <w:ind w:left="3360"/>
        <w:rPr>
          <w:rFonts w:ascii="Times New Roman" w:hAnsi="Times New Roman" w:cs="Times New Roman"/>
        </w:rPr>
      </w:pPr>
      <w:bookmarkStart w:id="0" w:name="bookmark5"/>
      <w:r w:rsidRPr="005A5342">
        <w:rPr>
          <w:rFonts w:ascii="Times New Roman" w:hAnsi="Times New Roman" w:cs="Times New Roman"/>
        </w:rPr>
        <w:t>OBEC  Česká Kubice</w:t>
      </w:r>
    </w:p>
    <w:p w14:paraId="01099F38" w14:textId="3EC0DD96" w:rsidR="001C38F5" w:rsidRPr="005A5342" w:rsidRDefault="001C38F5" w:rsidP="001C38F5">
      <w:pPr>
        <w:pStyle w:val="Zkladntext30"/>
        <w:shd w:val="clear" w:color="auto" w:fill="auto"/>
        <w:tabs>
          <w:tab w:val="left" w:leader="dot" w:pos="7495"/>
        </w:tabs>
        <w:spacing w:before="0"/>
        <w:jc w:val="center"/>
        <w:rPr>
          <w:rFonts w:ascii="Times New Roman" w:hAnsi="Times New Roman" w:cs="Times New Roman"/>
        </w:rPr>
      </w:pPr>
      <w:r w:rsidRPr="005A5342">
        <w:rPr>
          <w:rFonts w:ascii="Times New Roman" w:hAnsi="Times New Roman" w:cs="Times New Roman"/>
        </w:rPr>
        <w:t xml:space="preserve">Zastupitelstvo </w:t>
      </w:r>
      <w:r w:rsidR="003C13DF" w:rsidRPr="005A5342">
        <w:rPr>
          <w:rFonts w:ascii="Times New Roman" w:hAnsi="Times New Roman" w:cs="Times New Roman"/>
        </w:rPr>
        <w:t>obce Česká</w:t>
      </w:r>
      <w:r w:rsidRPr="005A5342">
        <w:rPr>
          <w:rFonts w:ascii="Times New Roman" w:hAnsi="Times New Roman" w:cs="Times New Roman"/>
        </w:rPr>
        <w:t xml:space="preserve"> Kubice</w:t>
      </w:r>
    </w:p>
    <w:p w14:paraId="692DCEAE" w14:textId="77777777" w:rsidR="001C38F5" w:rsidRPr="005A5342" w:rsidRDefault="001C38F5" w:rsidP="001C38F5">
      <w:pPr>
        <w:pStyle w:val="Zkladntext30"/>
        <w:shd w:val="clear" w:color="auto" w:fill="auto"/>
        <w:tabs>
          <w:tab w:val="left" w:leader="dot" w:pos="7808"/>
        </w:tabs>
        <w:spacing w:before="0" w:after="258"/>
        <w:jc w:val="center"/>
        <w:rPr>
          <w:rFonts w:ascii="Times New Roman" w:hAnsi="Times New Roman" w:cs="Times New Roman"/>
        </w:rPr>
      </w:pPr>
      <w:r w:rsidRPr="005A5342">
        <w:rPr>
          <w:rFonts w:ascii="Times New Roman" w:hAnsi="Times New Roman" w:cs="Times New Roman"/>
        </w:rPr>
        <w:t xml:space="preserve">Obecně závazná vyhláška obce  Česká Kubice  </w:t>
      </w:r>
    </w:p>
    <w:p w14:paraId="1D5ED0EA" w14:textId="098444B7" w:rsidR="001C38F5" w:rsidRDefault="001C38F5" w:rsidP="001C38F5">
      <w:pPr>
        <w:pStyle w:val="Nadpis40"/>
        <w:keepNext/>
        <w:keepLines/>
        <w:shd w:val="clear" w:color="auto" w:fill="auto"/>
        <w:spacing w:before="0" w:after="219" w:line="220" w:lineRule="exact"/>
        <w:ind w:right="40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č. </w:t>
      </w:r>
      <w:r w:rsidR="00262AE6">
        <w:rPr>
          <w:rFonts w:ascii="Times New Roman" w:hAnsi="Times New Roman" w:cs="Times New Roman"/>
          <w:sz w:val="24"/>
          <w:szCs w:val="24"/>
        </w:rPr>
        <w:t>1/2025</w:t>
      </w:r>
      <w:r w:rsidRPr="005A5342">
        <w:rPr>
          <w:rFonts w:ascii="Times New Roman" w:hAnsi="Times New Roman" w:cs="Times New Roman"/>
          <w:sz w:val="24"/>
          <w:szCs w:val="24"/>
        </w:rPr>
        <w:t xml:space="preserve"> o regulaci hazardních her</w:t>
      </w:r>
    </w:p>
    <w:p w14:paraId="36247036" w14:textId="77777777" w:rsidR="00180149" w:rsidRPr="005A5342" w:rsidRDefault="00180149" w:rsidP="001C38F5">
      <w:pPr>
        <w:pStyle w:val="Nadpis40"/>
        <w:keepNext/>
        <w:keepLines/>
        <w:shd w:val="clear" w:color="auto" w:fill="auto"/>
        <w:spacing w:before="0" w:after="219" w:line="220" w:lineRule="exact"/>
        <w:ind w:right="400"/>
        <w:rPr>
          <w:rFonts w:ascii="Times New Roman" w:hAnsi="Times New Roman" w:cs="Times New Roman"/>
          <w:sz w:val="24"/>
          <w:szCs w:val="24"/>
        </w:rPr>
      </w:pPr>
    </w:p>
    <w:p w14:paraId="59816EEF" w14:textId="261C3329" w:rsidR="001C38F5" w:rsidRPr="005A5342" w:rsidRDefault="001C38F5" w:rsidP="001C38F5">
      <w:pPr>
        <w:pStyle w:val="Zkladntext20"/>
        <w:shd w:val="clear" w:color="auto" w:fill="auto"/>
        <w:tabs>
          <w:tab w:val="left" w:leader="dot" w:pos="7808"/>
        </w:tabs>
        <w:spacing w:after="0" w:line="25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Zastupitelstvo obce Česká Kubice se na svém zasedání dne </w:t>
      </w:r>
      <w:r w:rsidR="00CD3516">
        <w:rPr>
          <w:rFonts w:ascii="Times New Roman" w:hAnsi="Times New Roman" w:cs="Times New Roman"/>
          <w:sz w:val="24"/>
          <w:szCs w:val="24"/>
        </w:rPr>
        <w:t xml:space="preserve">24.9.2025 </w:t>
      </w:r>
      <w:r w:rsidRPr="005A5342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CD3516">
        <w:rPr>
          <w:rFonts w:ascii="Times New Roman" w:hAnsi="Times New Roman" w:cs="Times New Roman"/>
          <w:sz w:val="24"/>
          <w:szCs w:val="24"/>
        </w:rPr>
        <w:t>290/2025</w:t>
      </w:r>
      <w:r w:rsidRPr="005A5342">
        <w:rPr>
          <w:rFonts w:ascii="Times New Roman" w:hAnsi="Times New Roman" w:cs="Times New Roman"/>
          <w:sz w:val="24"/>
          <w:szCs w:val="24"/>
        </w:rPr>
        <w:t xml:space="preserve"> usneslo vydat na základě 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 </w:t>
      </w:r>
    </w:p>
    <w:p w14:paraId="4AA71184" w14:textId="77777777" w:rsidR="00180149" w:rsidRPr="005A5342" w:rsidRDefault="00180149" w:rsidP="001C38F5">
      <w:pPr>
        <w:pStyle w:val="Zkladntext20"/>
        <w:shd w:val="clear" w:color="auto" w:fill="auto"/>
        <w:spacing w:after="204" w:line="25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5B71A4" w14:textId="2CE7D213" w:rsidR="001C38F5" w:rsidRPr="005A5342" w:rsidRDefault="001C38F5" w:rsidP="001C38F5">
      <w:pPr>
        <w:pStyle w:val="Nadpis40"/>
        <w:keepNext/>
        <w:keepLines/>
        <w:shd w:val="clear" w:color="auto" w:fill="auto"/>
        <w:spacing w:before="0" w:after="46" w:line="220" w:lineRule="exact"/>
        <w:ind w:right="40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Čl. </w:t>
      </w:r>
      <w:r w:rsidR="00AE3345">
        <w:rPr>
          <w:rFonts w:ascii="Times New Roman" w:hAnsi="Times New Roman" w:cs="Times New Roman"/>
          <w:sz w:val="24"/>
          <w:szCs w:val="24"/>
        </w:rPr>
        <w:t>1</w:t>
      </w:r>
    </w:p>
    <w:p w14:paraId="1E23599A" w14:textId="77777777" w:rsidR="001C38F5" w:rsidRPr="005A5342" w:rsidRDefault="001C38F5" w:rsidP="001C38F5">
      <w:pPr>
        <w:pStyle w:val="Nadpis40"/>
        <w:keepNext/>
        <w:keepLines/>
        <w:shd w:val="clear" w:color="auto" w:fill="auto"/>
        <w:spacing w:before="0" w:after="243" w:line="220" w:lineRule="exact"/>
        <w:ind w:right="40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Úvodní ustanovení</w:t>
      </w:r>
    </w:p>
    <w:p w14:paraId="4D312530" w14:textId="10F4FC54" w:rsidR="001C38F5" w:rsidRPr="005A5342" w:rsidRDefault="00027BF2" w:rsidP="001C38F5">
      <w:pPr>
        <w:pStyle w:val="Zkladntext20"/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C38F5" w:rsidRPr="005A5342">
        <w:rPr>
          <w:rFonts w:ascii="Times New Roman" w:hAnsi="Times New Roman" w:cs="Times New Roman"/>
          <w:sz w:val="24"/>
          <w:szCs w:val="24"/>
        </w:rPr>
        <w:t xml:space="preserve">inností, jež by mohla narušit veřejný </w:t>
      </w:r>
      <w:r w:rsidR="003C13DF" w:rsidRPr="005A5342">
        <w:rPr>
          <w:rFonts w:ascii="Times New Roman" w:hAnsi="Times New Roman" w:cs="Times New Roman"/>
          <w:sz w:val="24"/>
          <w:szCs w:val="24"/>
        </w:rPr>
        <w:t>pořádek</w:t>
      </w:r>
      <w:r w:rsidR="001C38F5" w:rsidRPr="005A5342">
        <w:rPr>
          <w:rFonts w:ascii="Times New Roman" w:hAnsi="Times New Roman" w:cs="Times New Roman"/>
          <w:sz w:val="24"/>
          <w:szCs w:val="24"/>
        </w:rPr>
        <w:t>, je provozování hazardních her podle zákona o hazardních hrách.</w:t>
      </w:r>
    </w:p>
    <w:p w14:paraId="716C7DC6" w14:textId="74EAC82B" w:rsidR="001C38F5" w:rsidRPr="005A5342" w:rsidRDefault="001C38F5" w:rsidP="001C38F5">
      <w:pPr>
        <w:pStyle w:val="Zkladntext20"/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Vyhláška stanovuje místa, na nichž mohou být provozovány Bingo, technická hra</w:t>
      </w:r>
      <w:r w:rsidR="00AE3345">
        <w:rPr>
          <w:rFonts w:ascii="Times New Roman" w:hAnsi="Times New Roman" w:cs="Times New Roman"/>
          <w:sz w:val="24"/>
          <w:szCs w:val="24"/>
        </w:rPr>
        <w:t xml:space="preserve"> a</w:t>
      </w:r>
      <w:r w:rsidRPr="005A5342">
        <w:rPr>
          <w:rFonts w:ascii="Times New Roman" w:hAnsi="Times New Roman" w:cs="Times New Roman"/>
          <w:sz w:val="24"/>
          <w:szCs w:val="24"/>
        </w:rPr>
        <w:t xml:space="preserve"> živá hra (dále jen „Hazardní hry“) povolované podle zákona o hazardních </w:t>
      </w:r>
      <w:r w:rsidR="003C13DF" w:rsidRPr="005A5342">
        <w:rPr>
          <w:rFonts w:ascii="Times New Roman" w:hAnsi="Times New Roman" w:cs="Times New Roman"/>
          <w:sz w:val="24"/>
          <w:szCs w:val="24"/>
        </w:rPr>
        <w:t>hrách</w:t>
      </w:r>
      <w:r w:rsidRPr="005A53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1FEE0" w14:textId="77777777" w:rsidR="001C38F5" w:rsidRDefault="001C38F5" w:rsidP="001C38F5">
      <w:pPr>
        <w:pStyle w:val="Zkladntext20"/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DB449E" w14:textId="77777777" w:rsidR="00F46755" w:rsidRPr="005A5342" w:rsidRDefault="00F46755" w:rsidP="001C38F5">
      <w:pPr>
        <w:pStyle w:val="Zkladntext20"/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AEE16E" w14:textId="7A1B90E3" w:rsidR="001C38F5" w:rsidRPr="005A5342" w:rsidRDefault="001C38F5">
      <w:pPr>
        <w:pStyle w:val="Nadpis30"/>
        <w:keepNext/>
        <w:keepLines/>
        <w:shd w:val="clear" w:color="auto" w:fill="auto"/>
        <w:spacing w:before="0" w:after="0" w:line="260" w:lineRule="exact"/>
        <w:ind w:right="40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Čl. </w:t>
      </w:r>
      <w:r w:rsidR="00AE3345">
        <w:rPr>
          <w:rFonts w:ascii="Times New Roman" w:hAnsi="Times New Roman" w:cs="Times New Roman"/>
          <w:sz w:val="24"/>
          <w:szCs w:val="24"/>
        </w:rPr>
        <w:t>2</w:t>
      </w:r>
    </w:p>
    <w:p w14:paraId="0B97110B" w14:textId="77777777" w:rsidR="001C38F5" w:rsidRDefault="001C38F5">
      <w:pPr>
        <w:pStyle w:val="Nadpis30"/>
        <w:keepNext/>
        <w:keepLines/>
        <w:shd w:val="clear" w:color="auto" w:fill="auto"/>
        <w:spacing w:before="0" w:after="0" w:line="260" w:lineRule="exact"/>
        <w:ind w:right="40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Účel vyhlášky </w:t>
      </w:r>
    </w:p>
    <w:p w14:paraId="1943868D" w14:textId="77777777" w:rsidR="006871A0" w:rsidRPr="005A5342" w:rsidRDefault="006871A0">
      <w:pPr>
        <w:pStyle w:val="Nadpis30"/>
        <w:keepNext/>
        <w:keepLines/>
        <w:shd w:val="clear" w:color="auto" w:fill="auto"/>
        <w:spacing w:before="0" w:after="0" w:line="260" w:lineRule="exact"/>
        <w:ind w:right="400"/>
        <w:rPr>
          <w:rFonts w:ascii="Times New Roman" w:hAnsi="Times New Roman" w:cs="Times New Roman"/>
          <w:sz w:val="24"/>
          <w:szCs w:val="24"/>
        </w:rPr>
      </w:pPr>
    </w:p>
    <w:bookmarkEnd w:id="0"/>
    <w:p w14:paraId="11D46813" w14:textId="0017050F" w:rsidR="00AE3345" w:rsidRPr="00AE3345" w:rsidRDefault="00AE3345" w:rsidP="00AE3345">
      <w:pPr>
        <w:pStyle w:val="Zkladntext20"/>
        <w:numPr>
          <w:ilvl w:val="0"/>
          <w:numId w:val="25"/>
        </w:numPr>
        <w:tabs>
          <w:tab w:val="left" w:leader="dot" w:pos="7808"/>
        </w:tabs>
        <w:spacing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3345">
        <w:rPr>
          <w:rFonts w:ascii="Times New Roman" w:hAnsi="Times New Roman" w:cs="Times New Roman"/>
          <w:sz w:val="24"/>
          <w:szCs w:val="24"/>
        </w:rPr>
        <w:t>Předmětem této vyhlášky je omezit společenská rizika vyplývající z provozování</w:t>
      </w:r>
    </w:p>
    <w:p w14:paraId="1CA94F83" w14:textId="702A4422" w:rsidR="00AE3345" w:rsidRPr="00AE3345" w:rsidRDefault="00AE3345" w:rsidP="00AE3345">
      <w:pPr>
        <w:pStyle w:val="Zkladntext20"/>
        <w:tabs>
          <w:tab w:val="left" w:leader="dot" w:pos="7808"/>
        </w:tabs>
        <w:spacing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345">
        <w:rPr>
          <w:rFonts w:ascii="Times New Roman" w:hAnsi="Times New Roman" w:cs="Times New Roman"/>
          <w:sz w:val="24"/>
          <w:szCs w:val="24"/>
        </w:rPr>
        <w:t>některých hazardních her, které často tvoří tzv. předpolí činností rozporných</w:t>
      </w:r>
    </w:p>
    <w:p w14:paraId="265C0751" w14:textId="2084CBA8" w:rsidR="00AE3345" w:rsidRPr="00AE3345" w:rsidRDefault="00AE3345" w:rsidP="00AE3345">
      <w:pPr>
        <w:pStyle w:val="Zkladntext20"/>
        <w:tabs>
          <w:tab w:val="left" w:leader="dot" w:pos="7808"/>
        </w:tabs>
        <w:spacing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345">
        <w:rPr>
          <w:rFonts w:ascii="Times New Roman" w:hAnsi="Times New Roman" w:cs="Times New Roman"/>
          <w:sz w:val="24"/>
          <w:szCs w:val="24"/>
        </w:rPr>
        <w:t>s veřejným pořádkem a dobrými mravy, které mají vliv nejen na jejích účastníky,</w:t>
      </w:r>
    </w:p>
    <w:p w14:paraId="33918724" w14:textId="2185B6E3" w:rsidR="00AE3345" w:rsidRPr="00AE3345" w:rsidRDefault="00AE3345" w:rsidP="00AE3345">
      <w:pPr>
        <w:pStyle w:val="Zkladntext20"/>
        <w:tabs>
          <w:tab w:val="left" w:leader="dot" w:pos="7808"/>
        </w:tabs>
        <w:spacing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345">
        <w:rPr>
          <w:rFonts w:ascii="Times New Roman" w:hAnsi="Times New Roman" w:cs="Times New Roman"/>
          <w:sz w:val="24"/>
          <w:szCs w:val="24"/>
        </w:rPr>
        <w:t>ale také na osoby jim blízké, osoby sociálně vyloučené, děti, mladistvé a seniory.</w:t>
      </w:r>
    </w:p>
    <w:p w14:paraId="70FA4C50" w14:textId="5AE8538B" w:rsidR="00AE3345" w:rsidRPr="00AE3345" w:rsidRDefault="00AE3345" w:rsidP="00AE3345">
      <w:pPr>
        <w:pStyle w:val="Zkladntext20"/>
        <w:numPr>
          <w:ilvl w:val="0"/>
          <w:numId w:val="25"/>
        </w:numPr>
        <w:tabs>
          <w:tab w:val="left" w:leader="dot" w:pos="7808"/>
        </w:tabs>
        <w:spacing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3345">
        <w:rPr>
          <w:rFonts w:ascii="Times New Roman" w:hAnsi="Times New Roman" w:cs="Times New Roman"/>
          <w:sz w:val="24"/>
          <w:szCs w:val="24"/>
        </w:rPr>
        <w:t>Cílem této vyhlášky je umožnit pokojné a bezpečné soužití občanů i návštěvníků</w:t>
      </w:r>
    </w:p>
    <w:p w14:paraId="590D5209" w14:textId="3031A33E" w:rsidR="00AE3345" w:rsidRPr="00AE3345" w:rsidRDefault="00AE3345" w:rsidP="00AE3345">
      <w:pPr>
        <w:pStyle w:val="Zkladntext20"/>
        <w:tabs>
          <w:tab w:val="left" w:leader="dot" w:pos="7808"/>
        </w:tabs>
        <w:spacing w:line="250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345">
        <w:rPr>
          <w:rFonts w:ascii="Times New Roman" w:hAnsi="Times New Roman" w:cs="Times New Roman"/>
          <w:sz w:val="24"/>
          <w:szCs w:val="24"/>
        </w:rPr>
        <w:t>města, uspokojit jejich potřeby a zároveň vytvořit příznivé podmínky pro život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345">
        <w:rPr>
          <w:rFonts w:ascii="Times New Roman" w:hAnsi="Times New Roman" w:cs="Times New Roman"/>
          <w:sz w:val="24"/>
          <w:szCs w:val="24"/>
        </w:rPr>
        <w:t>v obci."</w:t>
      </w:r>
    </w:p>
    <w:p w14:paraId="56FA0DAE" w14:textId="77777777" w:rsidR="00180149" w:rsidRPr="005A5342" w:rsidRDefault="00180149" w:rsidP="00AE3345">
      <w:pPr>
        <w:pStyle w:val="Zkladntext20"/>
        <w:shd w:val="clear" w:color="auto" w:fill="auto"/>
        <w:tabs>
          <w:tab w:val="left" w:pos="410"/>
        </w:tabs>
        <w:spacing w:after="0" w:line="25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9B8899" w14:textId="77777777" w:rsidR="00D059AE" w:rsidRPr="005A5342" w:rsidRDefault="00D059AE" w:rsidP="00D059AE">
      <w:pPr>
        <w:pStyle w:val="Zkladntext20"/>
        <w:shd w:val="clear" w:color="auto" w:fill="auto"/>
        <w:tabs>
          <w:tab w:val="left" w:pos="410"/>
        </w:tabs>
        <w:spacing w:after="0" w:line="254" w:lineRule="exac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D43112" w14:textId="28602662" w:rsidR="003C0FE2" w:rsidRPr="005A5342" w:rsidRDefault="001C38F5" w:rsidP="001C38F5">
      <w:pPr>
        <w:pStyle w:val="Nadpis40"/>
        <w:keepNext/>
        <w:keepLines/>
        <w:shd w:val="clear" w:color="auto" w:fill="auto"/>
        <w:spacing w:before="0" w:after="3" w:line="22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0"/>
      <w:r w:rsidRPr="005A5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F3244" w:rsidRPr="005A5342">
        <w:rPr>
          <w:rFonts w:ascii="Times New Roman" w:hAnsi="Times New Roman" w:cs="Times New Roman"/>
          <w:sz w:val="24"/>
          <w:szCs w:val="24"/>
        </w:rPr>
        <w:t xml:space="preserve">Čl. </w:t>
      </w:r>
      <w:bookmarkEnd w:id="1"/>
      <w:r w:rsidR="00AE3345">
        <w:rPr>
          <w:rFonts w:ascii="Times New Roman" w:hAnsi="Times New Roman" w:cs="Times New Roman"/>
          <w:sz w:val="24"/>
          <w:szCs w:val="24"/>
        </w:rPr>
        <w:t>3</w:t>
      </w:r>
    </w:p>
    <w:p w14:paraId="5328F4B0" w14:textId="516F1C1C" w:rsidR="001C38F5" w:rsidRPr="005A5342" w:rsidRDefault="001C38F5" w:rsidP="001C38F5">
      <w:pPr>
        <w:pStyle w:val="Zkladntext50"/>
        <w:shd w:val="clear" w:color="auto" w:fill="auto"/>
        <w:spacing w:before="0" w:after="216" w:line="220" w:lineRule="exact"/>
        <w:ind w:left="256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                       Určení míst</w:t>
      </w:r>
    </w:p>
    <w:p w14:paraId="0138E975" w14:textId="77777777" w:rsidR="00FB0B59" w:rsidRDefault="00FB0B59" w:rsidP="00506A68">
      <w:pPr>
        <w:pStyle w:val="Zkladntext50"/>
        <w:shd w:val="clear" w:color="auto" w:fill="auto"/>
        <w:spacing w:before="0" w:after="216" w:line="220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Hazardní hry nelze provozovat v bezprostřední blízkosti základní a mateřské školy a sociálních služeb. </w:t>
      </w:r>
    </w:p>
    <w:p w14:paraId="7DCBDF60" w14:textId="435A7B4C" w:rsidR="00F52EE8" w:rsidRDefault="00506A68" w:rsidP="00506A68">
      <w:pPr>
        <w:pStyle w:val="Zkladntext50"/>
        <w:shd w:val="clear" w:color="auto" w:fill="auto"/>
        <w:spacing w:before="0" w:after="216" w:line="220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Dalším důvodem je úmysl obce Česká Kubice mít konkrétní místa s provozem hazardních her pod kontrolou vybudovaných kamerových systémů obce, které jsou </w:t>
      </w:r>
      <w:r w:rsidR="00F52EE8">
        <w:rPr>
          <w:rFonts w:ascii="Times New Roman" w:hAnsi="Times New Roman" w:cs="Times New Roman"/>
          <w:b w:val="0"/>
          <w:bCs w:val="0"/>
          <w:sz w:val="24"/>
          <w:szCs w:val="24"/>
        </w:rPr>
        <w:t>napojené 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 využití 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potřeb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t>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PČR ÚO Domažlice, služebna OOP Folmava</w:t>
      </w:r>
      <w:r w:rsidR="00F52E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8B0E2A">
        <w:rPr>
          <w:rFonts w:ascii="Times New Roman" w:hAnsi="Times New Roman" w:cs="Times New Roman"/>
          <w:b w:val="0"/>
          <w:bCs w:val="0"/>
          <w:sz w:val="24"/>
          <w:szCs w:val="24"/>
        </w:rPr>
        <w:t>Obec Česká Kubice se zavázala Dohodou s KŘP ČR Plzeňského kraje k vybudování výše uvedené služebny a jejího plného hrazení provozu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(el. energie, vodné, stočné a vytápění objektu),</w:t>
      </w:r>
      <w:r w:rsidR="008B0E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 důvodu zvýšené kriminality a zajištění branně-bezpečnostní 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>opatřeních</w:t>
      </w:r>
      <w:r w:rsidR="008B0E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příhraničním</w:t>
      </w:r>
      <w:r w:rsidR="008B0E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regionu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 rámci společné dohody se Spolkovou republikou Německo, policejní prezidium Regensburg.</w:t>
      </w:r>
    </w:p>
    <w:p w14:paraId="294707F5" w14:textId="2ED18A52" w:rsidR="00506A68" w:rsidRDefault="00F52EE8" w:rsidP="00506A68">
      <w:pPr>
        <w:pStyle w:val="Zkladntext50"/>
        <w:shd w:val="clear" w:color="auto" w:fill="auto"/>
        <w:spacing w:before="0" w:after="216" w:line="220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Dále obec Česká Kubice jako vlastník vodovodního a kanalizačního řadu si vymiňuje zvýšenou kontrolu splaškových vod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 provozoven hazardních her a jejich restauračních zařízení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přes lapoly tuků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 w:rsidR="00BA1D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instalované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>flotační zařízení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kanalizační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řadu z důvodu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časté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nefunkčn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osti </w:t>
      </w:r>
      <w:r w:rsidR="00BA1D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zmíněných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>lapolů tuků, které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ztěžují řádný a bezchybný </w:t>
      </w:r>
      <w:r w:rsidR="00BA1D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chod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provoz</w:t>
      </w:r>
      <w:r w:rsidR="00BA1DC3">
        <w:rPr>
          <w:rFonts w:ascii="Times New Roman" w:hAnsi="Times New Roman" w:cs="Times New Roman"/>
          <w:b w:val="0"/>
          <w:bCs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čističky odpadních vod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Folmava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kdy tyto čištěné vody jsou vypouštěny do přeshraničního vodního toku 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t>Teplé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Bystřice, které se vlévají do řeky 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Chamb a vyžadují každoroční výjimku a souhlas k provozování ze strany Krajského úřadu </w:t>
      </w:r>
      <w:r w:rsidR="00B7152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Plzeňského kraje, odbor životního prostředí (vodoprávní souhlas)</w:t>
      </w:r>
      <w:r w:rsidR="00FB0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6D83">
        <w:rPr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FB0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dodržování hygienických norem. </w:t>
      </w:r>
    </w:p>
    <w:p w14:paraId="12716832" w14:textId="3A9AD0A4" w:rsidR="00B7152A" w:rsidRDefault="00B7152A" w:rsidP="00506A68">
      <w:pPr>
        <w:pStyle w:val="Zkladntext50"/>
        <w:shd w:val="clear" w:color="auto" w:fill="auto"/>
        <w:spacing w:before="0" w:after="216" w:line="220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Následně s tímto je spojené odpadové hospodářství 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obce 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jmenovitě určených adresních míst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které jsou provázané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 OZV</w:t>
      </w:r>
      <w:r w:rsidR="00443196" w:rsidRPr="00443196">
        <w:t xml:space="preserve"> </w:t>
      </w:r>
      <w:r w:rsidR="00443196" w:rsidRPr="00443196">
        <w:rPr>
          <w:rFonts w:ascii="Times New Roman" w:hAnsi="Times New Roman" w:cs="Times New Roman"/>
          <w:b w:val="0"/>
          <w:bCs w:val="0"/>
          <w:sz w:val="24"/>
          <w:szCs w:val="24"/>
        </w:rPr>
        <w:t>o stanovení obecního systému odpadového hospodářství</w:t>
      </w:r>
      <w:r w:rsidR="004431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č. 2/2024.</w:t>
      </w:r>
    </w:p>
    <w:p w14:paraId="1D4F32F3" w14:textId="5E4BF3D9" w:rsidR="008B0E2A" w:rsidRDefault="008B0E2A" w:rsidP="00506A68">
      <w:pPr>
        <w:pStyle w:val="Zkladntext50"/>
        <w:shd w:val="clear" w:color="auto" w:fill="auto"/>
        <w:spacing w:before="0" w:after="216" w:line="220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Určení jmenovitých adresních míst také řeší velkoplošná parkovací místa a jejich zimní údržba navazující na místní pozemní komunikace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kdy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je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tímto způsobem podmíněn 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zajištěn BESIP a </w:t>
      </w:r>
      <w:r w:rsidR="009D4A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následně upravované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rozhledové podmínky při výjezdu z adresních míst na mezinárodní komunikaci I/26.</w:t>
      </w:r>
    </w:p>
    <w:p w14:paraId="51ED44E7" w14:textId="225F0F92" w:rsidR="00C340D7" w:rsidRPr="005A5342" w:rsidRDefault="006F6F00" w:rsidP="006F6F00">
      <w:pPr>
        <w:pStyle w:val="Zkladntext50"/>
        <w:shd w:val="clear" w:color="auto" w:fill="auto"/>
        <w:spacing w:before="0" w:after="216" w:line="22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A5342">
        <w:rPr>
          <w:rFonts w:ascii="Times New Roman" w:hAnsi="Times New Roman" w:cs="Times New Roman"/>
          <w:b w:val="0"/>
          <w:bCs w:val="0"/>
          <w:sz w:val="24"/>
          <w:szCs w:val="24"/>
        </w:rPr>
        <w:t>Hazardní hry lze provozovat pouze na místech určených tímto článkem:</w:t>
      </w:r>
    </w:p>
    <w:p w14:paraId="3401EDEE" w14:textId="54283943" w:rsidR="001C38F5" w:rsidRPr="005A5342" w:rsidRDefault="001C38F5" w:rsidP="001C38F5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Horní Folmava č.p. </w:t>
      </w:r>
      <w:r w:rsidR="005A5342" w:rsidRPr="005A5342">
        <w:rPr>
          <w:rFonts w:ascii="Times New Roman" w:hAnsi="Times New Roman" w:cs="Times New Roman"/>
          <w:sz w:val="24"/>
          <w:szCs w:val="24"/>
        </w:rPr>
        <w:t xml:space="preserve"> </w:t>
      </w:r>
      <w:r w:rsidRPr="005A5342">
        <w:rPr>
          <w:rFonts w:ascii="Times New Roman" w:hAnsi="Times New Roman" w:cs="Times New Roman"/>
          <w:sz w:val="24"/>
          <w:szCs w:val="24"/>
        </w:rPr>
        <w:t>3, 345 32 Česká Kubice</w:t>
      </w:r>
    </w:p>
    <w:p w14:paraId="4B257375" w14:textId="262992BD" w:rsidR="001C38F5" w:rsidRPr="005A5342" w:rsidRDefault="001C38F5" w:rsidP="001C38F5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Horní Folmava č.p. </w:t>
      </w:r>
      <w:r w:rsidR="005A5342" w:rsidRPr="005A5342">
        <w:rPr>
          <w:rFonts w:ascii="Times New Roman" w:hAnsi="Times New Roman" w:cs="Times New Roman"/>
          <w:sz w:val="24"/>
          <w:szCs w:val="24"/>
        </w:rPr>
        <w:t xml:space="preserve"> </w:t>
      </w:r>
      <w:r w:rsidRPr="005A5342">
        <w:rPr>
          <w:rFonts w:ascii="Times New Roman" w:hAnsi="Times New Roman" w:cs="Times New Roman"/>
          <w:sz w:val="24"/>
          <w:szCs w:val="24"/>
        </w:rPr>
        <w:t>8, 345 32 Česká Kubice</w:t>
      </w:r>
    </w:p>
    <w:p w14:paraId="05B49C88" w14:textId="23EF1682" w:rsidR="002D307D" w:rsidRPr="005A5342" w:rsidRDefault="002D307D" w:rsidP="002D307D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Horní Folmava č.p.</w:t>
      </w:r>
      <w:r w:rsidR="005A5342" w:rsidRPr="005A5342">
        <w:rPr>
          <w:rFonts w:ascii="Times New Roman" w:hAnsi="Times New Roman" w:cs="Times New Roman"/>
          <w:sz w:val="24"/>
          <w:szCs w:val="24"/>
        </w:rPr>
        <w:t xml:space="preserve"> </w:t>
      </w:r>
      <w:r w:rsidRPr="005A5342">
        <w:rPr>
          <w:rFonts w:ascii="Times New Roman" w:hAnsi="Times New Roman" w:cs="Times New Roman"/>
          <w:sz w:val="24"/>
          <w:szCs w:val="24"/>
        </w:rPr>
        <w:t>11, 345 32 Česká Kubice</w:t>
      </w:r>
    </w:p>
    <w:p w14:paraId="66B591F9" w14:textId="7533366E" w:rsidR="002D307D" w:rsidRPr="005A5342" w:rsidRDefault="002D307D" w:rsidP="006C7A09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Horní Folmava č.p. 55, 345 32 Česká Kubice </w:t>
      </w:r>
    </w:p>
    <w:p w14:paraId="6A2FC127" w14:textId="6EEB4542" w:rsidR="002D307D" w:rsidRDefault="002D307D" w:rsidP="00FB0B59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Horní Folmava č.p. 66, 345 32 Česká Kubice</w:t>
      </w:r>
    </w:p>
    <w:p w14:paraId="21C582EA" w14:textId="1594B5FB" w:rsidR="00F46755" w:rsidRDefault="00F46755" w:rsidP="002D307D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Folmava č.p. 73, 345 32 Česká Kubice</w:t>
      </w:r>
    </w:p>
    <w:p w14:paraId="2ACDA3E1" w14:textId="70CC7437" w:rsidR="00180149" w:rsidRDefault="00180149" w:rsidP="002D307D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Folmava č.p. 86, 345 32 Česká Kubice</w:t>
      </w:r>
    </w:p>
    <w:p w14:paraId="51A965D0" w14:textId="5E83378E" w:rsidR="006F6F00" w:rsidRDefault="006F6F00" w:rsidP="00FB0B59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Dolní Folmava č.p. 9, 645 32 Česká Kubice</w:t>
      </w:r>
    </w:p>
    <w:p w14:paraId="526D20E8" w14:textId="5C8565EE" w:rsidR="006F6F00" w:rsidRDefault="006F6F00" w:rsidP="00FB0B59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Česká Kubice č.p. 64</w:t>
      </w:r>
      <w:r w:rsidR="00DC6759" w:rsidRPr="005A5342">
        <w:rPr>
          <w:rFonts w:ascii="Times New Roman" w:hAnsi="Times New Roman" w:cs="Times New Roman"/>
          <w:sz w:val="24"/>
          <w:szCs w:val="24"/>
        </w:rPr>
        <w:t>, 345 32 Česká Kubice</w:t>
      </w:r>
    </w:p>
    <w:p w14:paraId="584852A7" w14:textId="77777777" w:rsidR="00180149" w:rsidRDefault="00180149" w:rsidP="009D4ACD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64D36839" w14:textId="77777777" w:rsidR="005B2C98" w:rsidRDefault="005B2C98" w:rsidP="005A5342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8F3D07" w14:textId="032E11A1" w:rsidR="005A5342" w:rsidRPr="00180149" w:rsidRDefault="005A5342" w:rsidP="005A5342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Horní Folmava č.p. </w:t>
      </w:r>
      <w:r w:rsidR="005B2C98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stavební parcela č. 146 v k.ú. Horní Folmava – jedná s o pozemek ležící při silnici I/26 mimo zastavěnou část obce. Nemovitost byla účelově stavěná jako budova sloužící k provozování hazardních her a </w:t>
      </w:r>
      <w:r w:rsidR="005B2C98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novelizace této OZV tyto herní prostory přebírá.</w:t>
      </w:r>
    </w:p>
    <w:p w14:paraId="7483C887" w14:textId="77777777" w:rsidR="005B2C98" w:rsidRPr="00180149" w:rsidRDefault="005B2C98" w:rsidP="005A5342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17EDCF" w14:textId="70E101D9" w:rsidR="005B2C98" w:rsidRPr="00180149" w:rsidRDefault="005B2C98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Horní Folmava č.p. 8, stavební parcela č. 11/6 v k.ú. Horní Folmava – jedná s o pozemek ležící při silnici I/26 mimo </w:t>
      </w:r>
      <w:r w:rsidR="002941B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obydle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nou část obce navazující na Vietnamské tržiště a BČS MOOL. Nemovitost byla účelově přestavěná z hospodářské budovy (stáje), jako budova sloužící k provozování hazardních her a novelizace této OZV tyto herní prostory přebírá.</w:t>
      </w:r>
    </w:p>
    <w:p w14:paraId="0A351DF2" w14:textId="77777777" w:rsidR="005B2C98" w:rsidRPr="00180149" w:rsidRDefault="005B2C98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37409" w14:textId="7F7DA5D7" w:rsidR="005B2C98" w:rsidRPr="00180149" w:rsidRDefault="005B2C98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Horní Folmava č.p. 11, stavební parcela č. 32 v k.ú. Horní Folmava – jedná s o pozemek přiléhající k Vietnamské tržnici v málo obydlené části obce. Nemovitost byla účelově přestavěná z obytné budovy a hospodářské budovy (stáje), jako budova sloužící k provozování hazardních her a novelizace této OZV tyto herní prostory přebírá.</w:t>
      </w:r>
    </w:p>
    <w:p w14:paraId="1E3927AA" w14:textId="77777777" w:rsidR="005B2C98" w:rsidRPr="00180149" w:rsidRDefault="005B2C98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29201AE" w14:textId="02D6ACB6" w:rsidR="00F46755" w:rsidRPr="00180149" w:rsidRDefault="00F46755" w:rsidP="00F46755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Horní Folmava č.p. 55, stavební parcela č. 189/1 v k.ú. Horní Folmava – jedná s o pozemek ležící při silnici I/26 mimo </w:t>
      </w:r>
      <w:r w:rsidR="002941B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obydle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nou část obce, navazující na parkoviště TIR Folmava  Nemovitost byla účelově stavěná jako budova BČS BENZINA </w:t>
      </w:r>
      <w:r w:rsidR="002941B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 prostorem 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sloužící k provozování hazardních her a novelizace této OZV tyto herní prostory přebírá.</w:t>
      </w:r>
    </w:p>
    <w:p w14:paraId="3D86217E" w14:textId="77777777" w:rsidR="003808E6" w:rsidRPr="00180149" w:rsidRDefault="003808E6" w:rsidP="002941B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EEBBA1" w14:textId="7E00A225" w:rsidR="003808E6" w:rsidRPr="00180149" w:rsidRDefault="003808E6" w:rsidP="002941B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Horní Folmava č.p. 66, stavební parcela č. 77 v k.ú. Horní Folmava – jedná s o pozemek ležící v obci Folmava 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navazující na částečně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obydlenou část obce, 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soused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ící 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brownfieldem bývalé roty PS.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Nemovitost byla účelově 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pře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stavěná jako budova s prostorem sloužící k provozování hazardních her a novelizace této OZV tyto herní prostory přebírá</w:t>
      </w:r>
      <w:r w:rsidR="006E1699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27E485" w14:textId="77777777" w:rsidR="006E1699" w:rsidRPr="00180149" w:rsidRDefault="006E1699" w:rsidP="002941B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7FAA28" w14:textId="7A4C2CFA" w:rsidR="006E1699" w:rsidRPr="00180149" w:rsidRDefault="006E1699" w:rsidP="006E169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Horní Folmava č.p. 73, stavební parcela č. 230 v k.ú. Horní Folmava, která vznikla sloučením bývalých parcel st. č. 86, st. 87, st. 88, st. 89, 392/4 a 573 vše v k.ú Horní Folmava (bývalá nákladní celnice) – jedná s o pozemek ležící při silnici I/26 mimo obydlenou část obce navazující na prostor HP Folmava – Schavberg. Nemovitost byla účelově stavěná jako budova obchodního centra, služeb péče o tělo a prostory sloužící k provozování hazardních her a novelizace této OZV tyto herní prostory přebírá.</w:t>
      </w:r>
    </w:p>
    <w:p w14:paraId="75D6B587" w14:textId="77777777" w:rsidR="00180149" w:rsidRPr="00180149" w:rsidRDefault="00180149" w:rsidP="006E169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66CBAE" w14:textId="4DFFD136" w:rsidR="00180149" w:rsidRPr="00180149" w:rsidRDefault="00180149" w:rsidP="0018014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Horní Folmava č.p. 86, stavební parcela č. 386/6 v k.ú. Horní Folmava. Budova byla účelově stavěna 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jako resturace, provozovna služeb péče o tělo (pedikúra, manikúra, kadeřnictví) a velkoprostorová prodejna smíšeného zboží. Nemovitost se nachází mimo obydlenou část obce v prostoru </w:t>
      </w:r>
      <w:r w:rsidR="00766D83">
        <w:rPr>
          <w:rFonts w:ascii="Times New Roman" w:hAnsi="Times New Roman" w:cs="Times New Roman"/>
          <w:i w:val="0"/>
          <w:iCs w:val="0"/>
          <w:sz w:val="24"/>
          <w:szCs w:val="24"/>
        </w:rPr>
        <w:t>hraničního přechodu (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HP</w:t>
      </w:r>
      <w:r w:rsidR="00766D8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Folmava – Schavberg při silnici I/26.</w:t>
      </w:r>
    </w:p>
    <w:p w14:paraId="05264D45" w14:textId="111DD5EE" w:rsidR="005B2C98" w:rsidRPr="00180149" w:rsidRDefault="005B2C98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59AD0E" w14:textId="73B54018" w:rsidR="006E1699" w:rsidRPr="00180149" w:rsidRDefault="006E1699" w:rsidP="006E1699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Dolní Folmava č.p. </w:t>
      </w:r>
      <w:r w:rsidR="00EA3443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, stavební parcela č. 14</w:t>
      </w:r>
      <w:r w:rsidR="00EA3443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k.ú. Horní Folmava – jedná s o pozemek ležící při silnici I/26 </w:t>
      </w:r>
      <w:r w:rsidR="00EA3443"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navazující na</w:t>
      </w: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zastavěnou část obce. Nemovitost byla účelově stavěná jako budova sloužící k provozování hazardních her a novelizace této OZV tyto herní prostory přebírá.</w:t>
      </w:r>
    </w:p>
    <w:p w14:paraId="24B06615" w14:textId="77777777" w:rsidR="002941B9" w:rsidRPr="00180149" w:rsidRDefault="002941B9" w:rsidP="005B2C98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B68CEF6" w14:textId="5C91116B" w:rsidR="00EA3443" w:rsidRDefault="00EA3443" w:rsidP="00EA3443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0149">
        <w:rPr>
          <w:rFonts w:ascii="Times New Roman" w:hAnsi="Times New Roman" w:cs="Times New Roman"/>
          <w:i w:val="0"/>
          <w:iCs w:val="0"/>
          <w:sz w:val="24"/>
          <w:szCs w:val="24"/>
        </w:rPr>
        <w:t>Česká Kubice č.p. 64, stavební parcela č. 188/3, st. 421 a st. 419 v k.ú. Česká Kubice – jedná s o pozemek ležící při silnici II/1901 navazující na okraj obydlené části obce. Nemovitost byla účelově přestavěná z bývalé restaurace, jako budova sloužící k provozování hazardních her a novelizace této OZV tyto herní prostory přebírá.</w:t>
      </w:r>
    </w:p>
    <w:p w14:paraId="2D440F0F" w14:textId="77777777" w:rsidR="00E123EF" w:rsidRDefault="00E123EF" w:rsidP="00EA3443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4C26E" w14:textId="6E18AF97" w:rsidR="00E123EF" w:rsidRPr="00180149" w:rsidRDefault="00E123EF" w:rsidP="00EA3443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Důvodová zpráva pro určení míst k provozování hazardních her je uvedena v příloze, která tvoří nedílnou součást této vyhlášky. </w:t>
      </w:r>
    </w:p>
    <w:p w14:paraId="62F97A68" w14:textId="77777777" w:rsidR="005B2C98" w:rsidRDefault="005B2C98" w:rsidP="005A5342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3CECE6" w14:textId="77777777" w:rsidR="00180149" w:rsidRPr="005A5342" w:rsidRDefault="00180149" w:rsidP="005A5342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910E31A" w14:textId="77777777" w:rsidR="00B73B2F" w:rsidRPr="005A5342" w:rsidRDefault="00B73B2F" w:rsidP="00B73B2F">
      <w:pPr>
        <w:pStyle w:val="Nadpis40"/>
        <w:keepNext/>
        <w:keepLines/>
        <w:shd w:val="clear" w:color="auto" w:fill="auto"/>
        <w:spacing w:before="0"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1"/>
      <w:r w:rsidRPr="005A5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816C1" w14:textId="7A30CCE6" w:rsidR="003C0FE2" w:rsidRPr="005A5342" w:rsidRDefault="00AF3244" w:rsidP="00180149">
      <w:pPr>
        <w:pStyle w:val="Nadpis40"/>
        <w:keepNext/>
        <w:keepLines/>
        <w:shd w:val="clear" w:color="auto" w:fill="auto"/>
        <w:spacing w:before="0" w:after="0" w:line="254" w:lineRule="exact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Čl. </w:t>
      </w:r>
      <w:bookmarkEnd w:id="2"/>
      <w:r w:rsidR="006525C8">
        <w:rPr>
          <w:rFonts w:ascii="Times New Roman" w:hAnsi="Times New Roman" w:cs="Times New Roman"/>
          <w:sz w:val="24"/>
          <w:szCs w:val="24"/>
        </w:rPr>
        <w:t>4</w:t>
      </w:r>
    </w:p>
    <w:p w14:paraId="061ED86A" w14:textId="633E71CB" w:rsidR="00B73B2F" w:rsidRPr="005A5342" w:rsidRDefault="00B73B2F" w:rsidP="00180149">
      <w:pPr>
        <w:pStyle w:val="Zkladntext50"/>
        <w:shd w:val="clear" w:color="auto" w:fill="auto"/>
        <w:spacing w:before="0" w:after="0" w:line="254" w:lineRule="exact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 xml:space="preserve">Zrušovací </w:t>
      </w:r>
      <w:r w:rsidR="003C13DF" w:rsidRPr="005A5342">
        <w:rPr>
          <w:rFonts w:ascii="Times New Roman" w:hAnsi="Times New Roman" w:cs="Times New Roman"/>
          <w:sz w:val="24"/>
          <w:szCs w:val="24"/>
        </w:rPr>
        <w:t>ustanovení</w:t>
      </w:r>
    </w:p>
    <w:p w14:paraId="0209C0EE" w14:textId="77777777" w:rsidR="003606A5" w:rsidRPr="005A5342" w:rsidRDefault="003606A5" w:rsidP="003606A5">
      <w:pPr>
        <w:pStyle w:val="Zkladntext40"/>
        <w:shd w:val="clear" w:color="auto" w:fill="auto"/>
        <w:tabs>
          <w:tab w:val="left" w:pos="1213"/>
        </w:tabs>
        <w:spacing w:before="0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263705" w14:textId="77777777" w:rsidR="006173FB" w:rsidRPr="005A5342" w:rsidRDefault="006173FB" w:rsidP="006173FB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  <w:rFonts w:ascii="Times New Roman" w:hAnsi="Times New Roman" w:cs="Times New Roman"/>
          <w:sz w:val="24"/>
          <w:szCs w:val="24"/>
        </w:rPr>
      </w:pPr>
    </w:p>
    <w:p w14:paraId="79A426CF" w14:textId="37A7BDEA" w:rsidR="00B91D16" w:rsidRDefault="00B73B2F" w:rsidP="00180149">
      <w:pPr>
        <w:pStyle w:val="Zkladntext20"/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left="8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Zrušuje se obecně závazná vyhláška č. 1/2017 ze dne 15.7.2017.</w:t>
      </w:r>
    </w:p>
    <w:p w14:paraId="4D5B2F14" w14:textId="77777777" w:rsidR="00180149" w:rsidRDefault="00180149" w:rsidP="00B91D16">
      <w:pPr>
        <w:pStyle w:val="Zkladntext20"/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70AF35" w14:textId="77777777" w:rsidR="00180149" w:rsidRPr="005A5342" w:rsidRDefault="00180149" w:rsidP="00B91D16">
      <w:pPr>
        <w:pStyle w:val="Zkladntext20"/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E170C7" w14:textId="77777777" w:rsidR="00B73B2F" w:rsidRPr="005A5342" w:rsidRDefault="00B73B2F" w:rsidP="00180149">
      <w:pPr>
        <w:pStyle w:val="Nadpis40"/>
        <w:keepNext/>
        <w:keepLines/>
        <w:shd w:val="clear" w:color="auto" w:fill="auto"/>
        <w:spacing w:before="0" w:after="3" w:line="220" w:lineRule="exact"/>
        <w:ind w:right="380"/>
        <w:rPr>
          <w:rFonts w:ascii="Times New Roman" w:hAnsi="Times New Roman" w:cs="Times New Roman"/>
          <w:sz w:val="24"/>
          <w:szCs w:val="24"/>
        </w:rPr>
      </w:pPr>
      <w:bookmarkStart w:id="3" w:name="bookmark21"/>
    </w:p>
    <w:p w14:paraId="2971D31B" w14:textId="43056F39" w:rsidR="003C0FE2" w:rsidRPr="005A5342" w:rsidRDefault="00B73B2F" w:rsidP="00180149">
      <w:pPr>
        <w:pStyle w:val="Nadpis40"/>
        <w:keepNext/>
        <w:keepLines/>
        <w:shd w:val="clear" w:color="auto" w:fill="auto"/>
        <w:spacing w:before="0" w:after="3" w:line="220" w:lineRule="exact"/>
        <w:ind w:right="380"/>
        <w:rPr>
          <w:rFonts w:ascii="Times New Roman" w:hAnsi="Times New Roman" w:cs="Times New Roman"/>
          <w:sz w:val="24"/>
          <w:szCs w:val="24"/>
        </w:rPr>
      </w:pPr>
      <w:r w:rsidRPr="005A5342">
        <w:rPr>
          <w:rFonts w:ascii="Times New Roman" w:hAnsi="Times New Roman" w:cs="Times New Roman"/>
          <w:sz w:val="24"/>
          <w:szCs w:val="24"/>
        </w:rPr>
        <w:t>Č</w:t>
      </w:r>
      <w:r w:rsidR="00AF3244" w:rsidRPr="005A5342">
        <w:rPr>
          <w:rFonts w:ascii="Times New Roman" w:hAnsi="Times New Roman" w:cs="Times New Roman"/>
          <w:sz w:val="24"/>
          <w:szCs w:val="24"/>
        </w:rPr>
        <w:t xml:space="preserve">l. </w:t>
      </w:r>
      <w:bookmarkEnd w:id="3"/>
      <w:r w:rsidR="006525C8">
        <w:rPr>
          <w:rFonts w:ascii="Times New Roman" w:hAnsi="Times New Roman" w:cs="Times New Roman"/>
          <w:sz w:val="24"/>
          <w:szCs w:val="24"/>
        </w:rPr>
        <w:t>5</w:t>
      </w:r>
    </w:p>
    <w:p w14:paraId="0EBC68AF" w14:textId="58EF70BA" w:rsidR="003C0FE2" w:rsidRPr="005A5342" w:rsidRDefault="00B73B2F" w:rsidP="00180149">
      <w:pPr>
        <w:pStyle w:val="Nadpis40"/>
        <w:keepNext/>
        <w:keepLines/>
        <w:shd w:val="clear" w:color="auto" w:fill="auto"/>
        <w:spacing w:before="0" w:after="200" w:line="220" w:lineRule="exact"/>
        <w:ind w:right="380"/>
        <w:rPr>
          <w:rFonts w:ascii="Times New Roman" w:hAnsi="Times New Roman" w:cs="Times New Roman"/>
          <w:sz w:val="24"/>
          <w:szCs w:val="24"/>
        </w:rPr>
      </w:pPr>
      <w:bookmarkStart w:id="4" w:name="bookmark22"/>
      <w:r w:rsidRPr="005A5342">
        <w:rPr>
          <w:rFonts w:ascii="Times New Roman" w:hAnsi="Times New Roman" w:cs="Times New Roman"/>
          <w:sz w:val="24"/>
          <w:szCs w:val="24"/>
        </w:rPr>
        <w:t>Účinnost</w:t>
      </w:r>
      <w:bookmarkEnd w:id="4"/>
    </w:p>
    <w:p w14:paraId="0EB08D44" w14:textId="77777777" w:rsidR="00D10B48" w:rsidRPr="005A5342" w:rsidRDefault="00D10B48" w:rsidP="00660E04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firstLine="0"/>
        <w:rPr>
          <w:rStyle w:val="Zkladntext6Arial11ptNetun0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0F08FAFA" w14:textId="5C7880DD" w:rsidR="00D1452E" w:rsidRPr="005A5342" w:rsidRDefault="00D1452E" w:rsidP="00180149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720" w:firstLine="0"/>
        <w:jc w:val="center"/>
        <w:rPr>
          <w:rStyle w:val="TitulektabulkyNekurzva"/>
          <w:rFonts w:ascii="Times New Roman" w:hAnsi="Times New Roman" w:cs="Times New Roman"/>
          <w:sz w:val="24"/>
          <w:szCs w:val="24"/>
        </w:rPr>
      </w:pPr>
      <w:r w:rsidRPr="005A5342">
        <w:rPr>
          <w:rStyle w:val="TitulektabulkyNekurzva"/>
          <w:rFonts w:ascii="Times New Roman" w:hAnsi="Times New Roman" w:cs="Times New Roman"/>
          <w:sz w:val="24"/>
          <w:szCs w:val="24"/>
        </w:rPr>
        <w:t>T</w:t>
      </w:r>
      <w:bookmarkStart w:id="5" w:name="_Hlk202363075"/>
      <w:r w:rsidRPr="005A5342">
        <w:rPr>
          <w:rStyle w:val="TitulektabulkyNekurzva"/>
          <w:rFonts w:ascii="Times New Roman" w:hAnsi="Times New Roman" w:cs="Times New Roman"/>
          <w:sz w:val="24"/>
          <w:szCs w:val="24"/>
        </w:rPr>
        <w:t xml:space="preserve">ato </w:t>
      </w:r>
      <w:r w:rsidR="00EF1831" w:rsidRPr="005A5342">
        <w:rPr>
          <w:rStyle w:val="TitulektabulkyNekurzva"/>
          <w:rFonts w:ascii="Times New Roman" w:hAnsi="Times New Roman" w:cs="Times New Roman"/>
          <w:sz w:val="24"/>
          <w:szCs w:val="24"/>
        </w:rPr>
        <w:t xml:space="preserve">obecně závazná vyhláška nabývá účinnosti </w:t>
      </w:r>
      <w:r w:rsidR="00B73B2F" w:rsidRPr="005A5342">
        <w:rPr>
          <w:rStyle w:val="TitulektabulkyNekurzva"/>
          <w:rFonts w:ascii="Times New Roman" w:hAnsi="Times New Roman" w:cs="Times New Roman"/>
          <w:sz w:val="24"/>
          <w:szCs w:val="24"/>
        </w:rPr>
        <w:t>dne 1.</w:t>
      </w:r>
      <w:r w:rsidR="00C11153">
        <w:rPr>
          <w:rStyle w:val="TitulektabulkyNekurzva"/>
          <w:rFonts w:ascii="Times New Roman" w:hAnsi="Times New Roman" w:cs="Times New Roman"/>
          <w:sz w:val="24"/>
          <w:szCs w:val="24"/>
        </w:rPr>
        <w:t>12</w:t>
      </w:r>
      <w:r w:rsidR="00B73B2F" w:rsidRPr="005A5342">
        <w:rPr>
          <w:rStyle w:val="TitulektabulkyNekurzva"/>
          <w:rFonts w:ascii="Times New Roman" w:hAnsi="Times New Roman" w:cs="Times New Roman"/>
          <w:sz w:val="24"/>
          <w:szCs w:val="24"/>
        </w:rPr>
        <w:t>.2026.</w:t>
      </w:r>
      <w:bookmarkEnd w:id="5"/>
    </w:p>
    <w:p w14:paraId="6691097B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6525AA85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710B8D4D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6338ACC5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1048EDB1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58D356E5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p w14:paraId="3EB986DA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2933"/>
        <w:gridCol w:w="2934"/>
      </w:tblGrid>
      <w:tr w:rsidR="00D1452E" w:rsidRPr="005A5342" w14:paraId="7FCD4BF8" w14:textId="77777777" w:rsidTr="00D1452E">
        <w:tc>
          <w:tcPr>
            <w:tcW w:w="3232" w:type="dxa"/>
          </w:tcPr>
          <w:p w14:paraId="6E77361B" w14:textId="47EBDAA7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Gerberg Radek</w:t>
            </w:r>
            <w:r w:rsid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3516"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>v.r.</w:t>
            </w:r>
          </w:p>
          <w:p w14:paraId="6E638CA3" w14:textId="77777777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starosta</w:t>
            </w:r>
          </w:p>
        </w:tc>
        <w:tc>
          <w:tcPr>
            <w:tcW w:w="3232" w:type="dxa"/>
          </w:tcPr>
          <w:p w14:paraId="7C173987" w14:textId="64105E76" w:rsidR="00D1452E" w:rsidRPr="005A5342" w:rsidRDefault="002F3492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Radek </w:t>
            </w:r>
            <w:r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Strádal </w:t>
            </w:r>
            <w:r w:rsidR="00CD3516"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v.r.</w:t>
            </w:r>
          </w:p>
          <w:p w14:paraId="2206FB09" w14:textId="77777777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</w:tc>
        <w:tc>
          <w:tcPr>
            <w:tcW w:w="3233" w:type="dxa"/>
          </w:tcPr>
          <w:p w14:paraId="00D96004" w14:textId="2D370153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Kohel </w:t>
            </w:r>
            <w:r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David</w:t>
            </w:r>
            <w:r w:rsidR="00CD3516"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3516"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>v.</w:t>
            </w:r>
            <w:r w:rsidR="00CD3516" w:rsidRPr="00CD3516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r.</w:t>
            </w:r>
          </w:p>
          <w:p w14:paraId="2E452177" w14:textId="77777777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534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  <w:p w14:paraId="2D21ABEC" w14:textId="77777777" w:rsidR="00D1452E" w:rsidRPr="005A5342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1E85961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Zkladntext6Arial11ptNetun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B985E0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51BF96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2FCCD5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D20495" w14:textId="77777777" w:rsidR="00D1452E" w:rsidRPr="005A5342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5CAB4B" w14:textId="77777777" w:rsidR="003C0FE2" w:rsidRPr="005A5342" w:rsidRDefault="003C0FE2">
      <w:pPr>
        <w:rPr>
          <w:rFonts w:ascii="Times New Roman" w:hAnsi="Times New Roman" w:cs="Times New Roman"/>
        </w:rPr>
      </w:pPr>
    </w:p>
    <w:p w14:paraId="64241BC9" w14:textId="77777777" w:rsidR="003C0FE2" w:rsidRPr="005A5342" w:rsidRDefault="003C0FE2">
      <w:pPr>
        <w:rPr>
          <w:rFonts w:ascii="Times New Roman" w:hAnsi="Times New Roman" w:cs="Times New Roman"/>
        </w:rPr>
      </w:pPr>
    </w:p>
    <w:sectPr w:rsidR="003C0FE2" w:rsidRPr="005A5342">
      <w:footerReference w:type="default" r:id="rId8"/>
      <w:pgSz w:w="11900" w:h="16840"/>
      <w:pgMar w:top="1338" w:right="1374" w:bottom="1909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1581" w14:textId="77777777" w:rsidR="00342502" w:rsidRDefault="00342502">
      <w:r>
        <w:separator/>
      </w:r>
    </w:p>
  </w:endnote>
  <w:endnote w:type="continuationSeparator" w:id="0">
    <w:p w14:paraId="2D044FF8" w14:textId="77777777" w:rsidR="00342502" w:rsidRDefault="0034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116669"/>
      <w:docPartObj>
        <w:docPartGallery w:val="Page Numbers (Bottom of Page)"/>
        <w:docPartUnique/>
      </w:docPartObj>
    </w:sdtPr>
    <w:sdtEndPr/>
    <w:sdtContent>
      <w:p w14:paraId="5F590ABB" w14:textId="1A31918D" w:rsidR="000C67AE" w:rsidRDefault="000C67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4FB4" w14:textId="77777777" w:rsidR="000C67AE" w:rsidRDefault="000C6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230C" w14:textId="77777777" w:rsidR="00342502" w:rsidRDefault="00342502">
      <w:r>
        <w:separator/>
      </w:r>
    </w:p>
  </w:footnote>
  <w:footnote w:type="continuationSeparator" w:id="0">
    <w:p w14:paraId="6A88E207" w14:textId="77777777" w:rsidR="00342502" w:rsidRDefault="0034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3C40"/>
    <w:multiLevelType w:val="multilevel"/>
    <w:tmpl w:val="69BE28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71E25"/>
    <w:multiLevelType w:val="multilevel"/>
    <w:tmpl w:val="71B46C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A4D2D"/>
    <w:multiLevelType w:val="multilevel"/>
    <w:tmpl w:val="E68899C4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6F204A"/>
    <w:multiLevelType w:val="multilevel"/>
    <w:tmpl w:val="F62806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C6352"/>
    <w:multiLevelType w:val="multilevel"/>
    <w:tmpl w:val="285A56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8035FB"/>
    <w:multiLevelType w:val="multilevel"/>
    <w:tmpl w:val="20141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41E5E"/>
    <w:multiLevelType w:val="multilevel"/>
    <w:tmpl w:val="419A01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B2B22"/>
    <w:multiLevelType w:val="hybridMultilevel"/>
    <w:tmpl w:val="81421ED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042B"/>
    <w:multiLevelType w:val="multilevel"/>
    <w:tmpl w:val="166EC2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E2137F"/>
    <w:multiLevelType w:val="multilevel"/>
    <w:tmpl w:val="2CE6D3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05322"/>
    <w:multiLevelType w:val="hybridMultilevel"/>
    <w:tmpl w:val="7B1659A0"/>
    <w:lvl w:ilvl="0" w:tplc="A20C3A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40F41F1"/>
    <w:multiLevelType w:val="multilevel"/>
    <w:tmpl w:val="FB7EAA8C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1B7A21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A81C9C"/>
    <w:multiLevelType w:val="hybridMultilevel"/>
    <w:tmpl w:val="E9C6F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577E1"/>
    <w:multiLevelType w:val="multilevel"/>
    <w:tmpl w:val="7312E9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520E65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957204"/>
    <w:multiLevelType w:val="multilevel"/>
    <w:tmpl w:val="9C0E6F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BD4967"/>
    <w:multiLevelType w:val="multilevel"/>
    <w:tmpl w:val="71AC5B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A42298"/>
    <w:multiLevelType w:val="multilevel"/>
    <w:tmpl w:val="966E98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243C3B"/>
    <w:multiLevelType w:val="hybridMultilevel"/>
    <w:tmpl w:val="2F40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5C19"/>
    <w:multiLevelType w:val="multilevel"/>
    <w:tmpl w:val="D65E68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6F0021"/>
    <w:multiLevelType w:val="hybridMultilevel"/>
    <w:tmpl w:val="E0000888"/>
    <w:lvl w:ilvl="0" w:tplc="35E04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66442"/>
    <w:multiLevelType w:val="multilevel"/>
    <w:tmpl w:val="F280CA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22040C"/>
    <w:multiLevelType w:val="multilevel"/>
    <w:tmpl w:val="7510736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C33B4A"/>
    <w:multiLevelType w:val="multilevel"/>
    <w:tmpl w:val="2460BD3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896644">
    <w:abstractNumId w:val="1"/>
  </w:num>
  <w:num w:numId="2" w16cid:durableId="2044095178">
    <w:abstractNumId w:val="2"/>
  </w:num>
  <w:num w:numId="3" w16cid:durableId="1702709976">
    <w:abstractNumId w:val="11"/>
  </w:num>
  <w:num w:numId="4" w16cid:durableId="1266689299">
    <w:abstractNumId w:val="6"/>
  </w:num>
  <w:num w:numId="5" w16cid:durableId="1676227015">
    <w:abstractNumId w:val="23"/>
  </w:num>
  <w:num w:numId="6" w16cid:durableId="1129979783">
    <w:abstractNumId w:val="9"/>
  </w:num>
  <w:num w:numId="7" w16cid:durableId="1335916736">
    <w:abstractNumId w:val="8"/>
  </w:num>
  <w:num w:numId="8" w16cid:durableId="377749535">
    <w:abstractNumId w:val="22"/>
  </w:num>
  <w:num w:numId="9" w16cid:durableId="529880592">
    <w:abstractNumId w:val="3"/>
  </w:num>
  <w:num w:numId="10" w16cid:durableId="1652323114">
    <w:abstractNumId w:val="17"/>
  </w:num>
  <w:num w:numId="11" w16cid:durableId="831793624">
    <w:abstractNumId w:val="15"/>
  </w:num>
  <w:num w:numId="12" w16cid:durableId="274100657">
    <w:abstractNumId w:val="18"/>
  </w:num>
  <w:num w:numId="13" w16cid:durableId="316150461">
    <w:abstractNumId w:val="5"/>
  </w:num>
  <w:num w:numId="14" w16cid:durableId="1631127716">
    <w:abstractNumId w:val="16"/>
  </w:num>
  <w:num w:numId="15" w16cid:durableId="210773906">
    <w:abstractNumId w:val="14"/>
  </w:num>
  <w:num w:numId="16" w16cid:durableId="294987573">
    <w:abstractNumId w:val="4"/>
  </w:num>
  <w:num w:numId="17" w16cid:durableId="171072218">
    <w:abstractNumId w:val="20"/>
  </w:num>
  <w:num w:numId="18" w16cid:durableId="19792443">
    <w:abstractNumId w:val="0"/>
  </w:num>
  <w:num w:numId="19" w16cid:durableId="917902958">
    <w:abstractNumId w:val="10"/>
  </w:num>
  <w:num w:numId="20" w16cid:durableId="2142066495">
    <w:abstractNumId w:val="7"/>
  </w:num>
  <w:num w:numId="21" w16cid:durableId="381709557">
    <w:abstractNumId w:val="24"/>
  </w:num>
  <w:num w:numId="22" w16cid:durableId="476265400">
    <w:abstractNumId w:val="19"/>
  </w:num>
  <w:num w:numId="23" w16cid:durableId="562566371">
    <w:abstractNumId w:val="12"/>
  </w:num>
  <w:num w:numId="24" w16cid:durableId="1245606090">
    <w:abstractNumId w:val="21"/>
  </w:num>
  <w:num w:numId="25" w16cid:durableId="18821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E2"/>
    <w:rsid w:val="00003DA3"/>
    <w:rsid w:val="00027BF2"/>
    <w:rsid w:val="000342DA"/>
    <w:rsid w:val="000510B5"/>
    <w:rsid w:val="000C67AE"/>
    <w:rsid w:val="00180149"/>
    <w:rsid w:val="001C38F5"/>
    <w:rsid w:val="001F1F01"/>
    <w:rsid w:val="002168F6"/>
    <w:rsid w:val="00236A56"/>
    <w:rsid w:val="00256395"/>
    <w:rsid w:val="00262AE6"/>
    <w:rsid w:val="002941B9"/>
    <w:rsid w:val="002D307D"/>
    <w:rsid w:val="002F3492"/>
    <w:rsid w:val="00303A69"/>
    <w:rsid w:val="00303B7C"/>
    <w:rsid w:val="00315E2C"/>
    <w:rsid w:val="00342502"/>
    <w:rsid w:val="003606A5"/>
    <w:rsid w:val="003738BE"/>
    <w:rsid w:val="003808E6"/>
    <w:rsid w:val="003C0FE2"/>
    <w:rsid w:val="003C13DF"/>
    <w:rsid w:val="003C4735"/>
    <w:rsid w:val="004001C7"/>
    <w:rsid w:val="004055DE"/>
    <w:rsid w:val="00443196"/>
    <w:rsid w:val="00462F4A"/>
    <w:rsid w:val="00464C6A"/>
    <w:rsid w:val="004A318C"/>
    <w:rsid w:val="004B3BC5"/>
    <w:rsid w:val="00506A68"/>
    <w:rsid w:val="00545040"/>
    <w:rsid w:val="00572244"/>
    <w:rsid w:val="005A5342"/>
    <w:rsid w:val="005B2C98"/>
    <w:rsid w:val="006173FB"/>
    <w:rsid w:val="00643C18"/>
    <w:rsid w:val="006525C8"/>
    <w:rsid w:val="00657ECA"/>
    <w:rsid w:val="00660E04"/>
    <w:rsid w:val="006871A0"/>
    <w:rsid w:val="006C7A09"/>
    <w:rsid w:val="006E1699"/>
    <w:rsid w:val="006E7F91"/>
    <w:rsid w:val="006F6F00"/>
    <w:rsid w:val="00766D83"/>
    <w:rsid w:val="007B2595"/>
    <w:rsid w:val="00812A00"/>
    <w:rsid w:val="00850078"/>
    <w:rsid w:val="00855B2A"/>
    <w:rsid w:val="008B0E2A"/>
    <w:rsid w:val="008F66A9"/>
    <w:rsid w:val="0093418A"/>
    <w:rsid w:val="009D4ACD"/>
    <w:rsid w:val="00A064A5"/>
    <w:rsid w:val="00A20EEB"/>
    <w:rsid w:val="00A55804"/>
    <w:rsid w:val="00AE3345"/>
    <w:rsid w:val="00AF3244"/>
    <w:rsid w:val="00B37078"/>
    <w:rsid w:val="00B7152A"/>
    <w:rsid w:val="00B73B2F"/>
    <w:rsid w:val="00B84ABD"/>
    <w:rsid w:val="00B91D16"/>
    <w:rsid w:val="00B94D2C"/>
    <w:rsid w:val="00BA1DC3"/>
    <w:rsid w:val="00BC077F"/>
    <w:rsid w:val="00BD2534"/>
    <w:rsid w:val="00C11153"/>
    <w:rsid w:val="00C340D7"/>
    <w:rsid w:val="00CD3516"/>
    <w:rsid w:val="00CE07C1"/>
    <w:rsid w:val="00CF72F5"/>
    <w:rsid w:val="00D059AE"/>
    <w:rsid w:val="00D10B48"/>
    <w:rsid w:val="00D10B85"/>
    <w:rsid w:val="00D1452E"/>
    <w:rsid w:val="00D8372F"/>
    <w:rsid w:val="00DB69FC"/>
    <w:rsid w:val="00DC6759"/>
    <w:rsid w:val="00E06466"/>
    <w:rsid w:val="00E123EF"/>
    <w:rsid w:val="00EA3443"/>
    <w:rsid w:val="00EA5130"/>
    <w:rsid w:val="00EE54BB"/>
    <w:rsid w:val="00EF1831"/>
    <w:rsid w:val="00F46755"/>
    <w:rsid w:val="00F52EE8"/>
    <w:rsid w:val="00F60958"/>
    <w:rsid w:val="00FA51DB"/>
    <w:rsid w:val="00FB0B59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CBD"/>
  <w15:docId w15:val="{16E86F2A-8DB4-4CCE-AA7F-3502BED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0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imesNewRoman12ptTun">
    <w:name w:val="Základní text (4) + Times New Roman;12 pt;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Arial11ptNetun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Arial11ptNetun0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2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460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jc w:val="center"/>
      <w:outlineLvl w:val="0"/>
    </w:pPr>
    <w:rPr>
      <w:rFonts w:ascii="Arial" w:eastAsia="Arial" w:hAnsi="Arial" w:cs="Arial"/>
      <w:b/>
      <w:bCs/>
      <w:spacing w:val="4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317" w:lineRule="exact"/>
      <w:jc w:val="both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300" w:line="0" w:lineRule="atLeas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50" w:lineRule="exact"/>
      <w:ind w:hanging="400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Bezmezer">
    <w:name w:val="No Spacing"/>
    <w:uiPriority w:val="1"/>
    <w:qFormat/>
    <w:rsid w:val="00EA5130"/>
    <w:rPr>
      <w:color w:val="000000"/>
    </w:rPr>
  </w:style>
  <w:style w:type="table" w:styleId="Mkatabulky">
    <w:name w:val="Table Grid"/>
    <w:basedOn w:val="Normlntabulka"/>
    <w:uiPriority w:val="39"/>
    <w:rsid w:val="00D1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7A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7AE"/>
    <w:rPr>
      <w:color w:val="000000"/>
    </w:rPr>
  </w:style>
  <w:style w:type="paragraph" w:styleId="Odstavecseseznamem">
    <w:name w:val="List Paragraph"/>
    <w:basedOn w:val="Normln"/>
    <w:uiPriority w:val="34"/>
    <w:qFormat/>
    <w:rsid w:val="005A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9D9B-DF98-4141-B266-E1FB7C28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Česká Kubice</cp:lastModifiedBy>
  <cp:revision>10</cp:revision>
  <cp:lastPrinted>2025-07-02T13:33:00Z</cp:lastPrinted>
  <dcterms:created xsi:type="dcterms:W3CDTF">2025-07-23T08:38:00Z</dcterms:created>
  <dcterms:modified xsi:type="dcterms:W3CDTF">2025-10-30T07:36:00Z</dcterms:modified>
</cp:coreProperties>
</file>