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792277">
      <w:pPr>
        <w:pStyle w:val="Zhlav"/>
        <w:tabs>
          <w:tab w:val="clear" w:pos="4536"/>
          <w:tab w:val="clear" w:pos="9072"/>
        </w:tabs>
        <w:spacing w:line="276" w:lineRule="auto"/>
      </w:pPr>
    </w:p>
    <w:p w:rsidR="008D6906" w:rsidRPr="002E0EAD" w:rsidRDefault="008D6906" w:rsidP="007922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59B1">
        <w:rPr>
          <w:rFonts w:ascii="Arial" w:hAnsi="Arial" w:cs="Arial"/>
          <w:b/>
        </w:rPr>
        <w:t>BUŠ</w:t>
      </w:r>
    </w:p>
    <w:p w:rsidR="008D6906" w:rsidRPr="002E0EAD" w:rsidRDefault="008D6906" w:rsidP="007922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59B1">
        <w:rPr>
          <w:rFonts w:ascii="Arial" w:hAnsi="Arial" w:cs="Arial"/>
          <w:b/>
        </w:rPr>
        <w:t>Buš</w:t>
      </w:r>
    </w:p>
    <w:p w:rsidR="008D6906" w:rsidRPr="002E0EAD" w:rsidRDefault="008D6906" w:rsidP="007922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459B1">
        <w:rPr>
          <w:rFonts w:ascii="Arial" w:hAnsi="Arial" w:cs="Arial"/>
          <w:b/>
        </w:rPr>
        <w:t>Buš</w:t>
      </w:r>
      <w:r w:rsidRPr="002E0EAD">
        <w:rPr>
          <w:rFonts w:ascii="Arial" w:hAnsi="Arial" w:cs="Arial"/>
          <w:b/>
        </w:rPr>
        <w:t xml:space="preserve"> č. </w:t>
      </w:r>
      <w:r w:rsidR="008459B1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8459B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7922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79227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79227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459B1">
        <w:rPr>
          <w:rFonts w:ascii="Arial" w:hAnsi="Arial" w:cs="Arial"/>
          <w:b w:val="0"/>
          <w:sz w:val="22"/>
          <w:szCs w:val="22"/>
        </w:rPr>
        <w:t>Buš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459B1">
        <w:rPr>
          <w:rFonts w:ascii="Arial" w:hAnsi="Arial" w:cs="Arial"/>
          <w:b w:val="0"/>
          <w:sz w:val="22"/>
          <w:szCs w:val="22"/>
        </w:rPr>
        <w:t>1. 12. 2021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459B1">
        <w:rPr>
          <w:rFonts w:ascii="Arial" w:hAnsi="Arial" w:cs="Arial"/>
          <w:b w:val="0"/>
          <w:sz w:val="22"/>
          <w:szCs w:val="22"/>
        </w:rPr>
        <w:t xml:space="preserve">6/12/2021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792277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792277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792277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459B1">
        <w:rPr>
          <w:rFonts w:ascii="Arial" w:hAnsi="Arial" w:cs="Arial"/>
          <w:sz w:val="22"/>
          <w:szCs w:val="22"/>
        </w:rPr>
        <w:t>Buš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79227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459B1">
        <w:rPr>
          <w:rFonts w:ascii="Arial" w:hAnsi="Arial" w:cs="Arial"/>
          <w:sz w:val="22"/>
          <w:szCs w:val="22"/>
        </w:rPr>
        <w:t>Buš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792277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79227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792277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792277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792277">
      <w:pPr>
        <w:pStyle w:val="Default"/>
        <w:spacing w:after="53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792277">
      <w:pPr>
        <w:pStyle w:val="Default"/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792277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792277">
      <w:pPr>
        <w:pStyle w:val="Default"/>
        <w:spacing w:after="53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792277">
      <w:pPr>
        <w:pStyle w:val="Default"/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792277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792277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792277">
      <w:pPr>
        <w:pStyle w:val="slalnk"/>
        <w:spacing w:before="480" w:line="276" w:lineRule="auto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792277">
      <w:pPr>
        <w:pStyle w:val="Nzvylnk"/>
        <w:spacing w:line="276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79227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792277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792277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92277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459B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8459B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92277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92277">
      <w:pPr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716519" w:rsidRPr="00376155" w:rsidRDefault="00716519" w:rsidP="00792277">
      <w:pPr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92277">
      <w:pPr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792277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92277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92277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792277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792277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79227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8459B1" w:rsidRDefault="00772922" w:rsidP="00792277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25D38" w:rsidRPr="00E26EDC" w:rsidRDefault="00425D38" w:rsidP="00792277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Poplatník, kterému vznikne mimořádný objem směsného odpadu převyšující kapacitu soustřeďovacích prostředků, použije jednorázový pytel s logem svozové společnosti.</w:t>
      </w:r>
    </w:p>
    <w:p w:rsidR="00330165" w:rsidRPr="002E0EAD" w:rsidRDefault="00330165" w:rsidP="00792277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79227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Default="006A4A80" w:rsidP="00792277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459B1">
        <w:rPr>
          <w:rFonts w:ascii="Arial" w:hAnsi="Arial" w:cs="Arial"/>
          <w:sz w:val="22"/>
          <w:szCs w:val="22"/>
        </w:rPr>
        <w:t>0,56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792277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79227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792277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792277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792277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792277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792277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792277">
      <w:pPr>
        <w:pStyle w:val="Nzvylnk"/>
        <w:spacing w:line="276" w:lineRule="auto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Pr="00425D38" w:rsidRDefault="00601AB9" w:rsidP="00792277">
      <w:pPr>
        <w:numPr>
          <w:ilvl w:val="0"/>
          <w:numId w:val="32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</w:t>
      </w:r>
      <w:r w:rsidRPr="00425D38">
        <w:rPr>
          <w:rFonts w:ascii="Arial" w:hAnsi="Arial" w:cs="Arial"/>
          <w:sz w:val="22"/>
          <w:szCs w:val="22"/>
        </w:rPr>
        <w:t xml:space="preserve">do </w:t>
      </w:r>
      <w:r w:rsidR="008459B1" w:rsidRPr="00425D38">
        <w:rPr>
          <w:rFonts w:ascii="Arial" w:hAnsi="Arial" w:cs="Arial"/>
          <w:sz w:val="22"/>
          <w:szCs w:val="22"/>
        </w:rPr>
        <w:t xml:space="preserve">31. </w:t>
      </w:r>
      <w:r w:rsidR="00425D38" w:rsidRPr="00425D38">
        <w:rPr>
          <w:rFonts w:ascii="Arial" w:hAnsi="Arial" w:cs="Arial"/>
          <w:sz w:val="22"/>
          <w:szCs w:val="22"/>
        </w:rPr>
        <w:t>března</w:t>
      </w:r>
      <w:r w:rsidRPr="00425D38">
        <w:rPr>
          <w:rFonts w:ascii="Arial" w:hAnsi="Arial" w:cs="Arial"/>
          <w:sz w:val="22"/>
          <w:szCs w:val="22"/>
        </w:rPr>
        <w:t xml:space="preserve"> </w:t>
      </w:r>
      <w:r w:rsidR="00425D38" w:rsidRPr="00425D38">
        <w:rPr>
          <w:rFonts w:ascii="Arial" w:hAnsi="Arial" w:cs="Arial"/>
          <w:sz w:val="22"/>
          <w:szCs w:val="22"/>
        </w:rPr>
        <w:t>příslušného</w:t>
      </w:r>
      <w:r w:rsidRPr="00425D38">
        <w:rPr>
          <w:rFonts w:ascii="Arial" w:hAnsi="Arial" w:cs="Arial"/>
          <w:sz w:val="22"/>
          <w:szCs w:val="22"/>
        </w:rPr>
        <w:t xml:space="preserve"> kalendářního roku. </w:t>
      </w:r>
    </w:p>
    <w:p w:rsidR="006323A6" w:rsidRDefault="006323A6" w:rsidP="00792277">
      <w:pPr>
        <w:numPr>
          <w:ilvl w:val="0"/>
          <w:numId w:val="32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131160" w:rsidRPr="002E0EAD" w:rsidRDefault="006F616E" w:rsidP="00792277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792277">
      <w:pPr>
        <w:pStyle w:val="Nzvylnk"/>
        <w:spacing w:line="276" w:lineRule="auto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792277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792277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792277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792277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792277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792277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792277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792277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79227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792277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792277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79227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8459B1" w:rsidRDefault="00F71057" w:rsidP="00792277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459B1">
        <w:rPr>
          <w:rFonts w:ascii="Arial" w:hAnsi="Arial" w:cs="Arial"/>
          <w:sz w:val="22"/>
          <w:szCs w:val="22"/>
        </w:rPr>
        <w:t>Zrušuje se obecně závazná vyhláška č.</w:t>
      </w:r>
      <w:r w:rsidR="008459B1" w:rsidRPr="008459B1">
        <w:rPr>
          <w:rFonts w:ascii="Arial" w:hAnsi="Arial" w:cs="Arial"/>
          <w:sz w:val="22"/>
          <w:szCs w:val="22"/>
        </w:rPr>
        <w:t xml:space="preserve"> 3</w:t>
      </w:r>
      <w:r w:rsidRPr="008459B1">
        <w:rPr>
          <w:rFonts w:ascii="Arial" w:hAnsi="Arial" w:cs="Arial"/>
          <w:sz w:val="22"/>
          <w:szCs w:val="22"/>
        </w:rPr>
        <w:t>/</w:t>
      </w:r>
      <w:r w:rsidR="008459B1" w:rsidRPr="008459B1">
        <w:rPr>
          <w:rFonts w:ascii="Arial" w:hAnsi="Arial" w:cs="Arial"/>
          <w:sz w:val="22"/>
          <w:szCs w:val="22"/>
        </w:rPr>
        <w:t>2017, kterou se stanoví poplatek za komunální odpad</w:t>
      </w:r>
      <w:r w:rsidRPr="008459B1">
        <w:rPr>
          <w:rFonts w:ascii="Arial" w:hAnsi="Arial" w:cs="Arial"/>
          <w:sz w:val="22"/>
          <w:szCs w:val="22"/>
        </w:rPr>
        <w:t>,</w:t>
      </w:r>
      <w:r w:rsidR="008459B1">
        <w:rPr>
          <w:rFonts w:ascii="Arial" w:hAnsi="Arial" w:cs="Arial"/>
          <w:sz w:val="22"/>
          <w:szCs w:val="22"/>
        </w:rPr>
        <w:t xml:space="preserve"> </w:t>
      </w:r>
      <w:r w:rsidRPr="008459B1">
        <w:rPr>
          <w:rFonts w:ascii="Arial" w:hAnsi="Arial" w:cs="Arial"/>
          <w:sz w:val="22"/>
          <w:szCs w:val="22"/>
        </w:rPr>
        <w:t xml:space="preserve">ze dne </w:t>
      </w:r>
      <w:r w:rsidR="008459B1">
        <w:rPr>
          <w:rFonts w:ascii="Arial" w:hAnsi="Arial" w:cs="Arial"/>
          <w:sz w:val="22"/>
          <w:szCs w:val="22"/>
        </w:rPr>
        <w:t>7. 6. 2017.</w:t>
      </w:r>
    </w:p>
    <w:p w:rsidR="00F71057" w:rsidRPr="002E0EAD" w:rsidRDefault="00F71057" w:rsidP="00792277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792277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79227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459B1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6C4DB3" w:rsidRDefault="006C4DB3" w:rsidP="007922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8459B1" w:rsidRDefault="008459B1" w:rsidP="007922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792277" w:rsidRPr="002E0EAD" w:rsidRDefault="00792277" w:rsidP="007922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79227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792277">
      <w:pPr>
        <w:pStyle w:val="Zkladntext"/>
        <w:tabs>
          <w:tab w:val="left" w:pos="993"/>
          <w:tab w:val="left" w:pos="6237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92277">
        <w:rPr>
          <w:rFonts w:ascii="Arial" w:hAnsi="Arial" w:cs="Arial"/>
          <w:sz w:val="22"/>
          <w:szCs w:val="22"/>
        </w:rPr>
        <w:t>Rudolf Javůrek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92277">
        <w:rPr>
          <w:rFonts w:ascii="Arial" w:hAnsi="Arial" w:cs="Arial"/>
          <w:sz w:val="22"/>
          <w:szCs w:val="22"/>
        </w:rPr>
        <w:t>Ing. Miloslav Laštovka</w:t>
      </w:r>
    </w:p>
    <w:p w:rsidR="00131160" w:rsidRPr="002E0EAD" w:rsidRDefault="00131160" w:rsidP="0079227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Default="00131160" w:rsidP="0079227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792277" w:rsidRPr="002E0EAD" w:rsidRDefault="00792277" w:rsidP="0079227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CF0B00" w:rsidRDefault="00CF0B00" w:rsidP="0079227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792277" w:rsidRDefault="00792277" w:rsidP="0079227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792277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85D88">
        <w:rPr>
          <w:rFonts w:ascii="Arial" w:hAnsi="Arial" w:cs="Arial"/>
          <w:sz w:val="22"/>
          <w:szCs w:val="22"/>
        </w:rPr>
        <w:t xml:space="preserve"> 13. 12. 2021</w:t>
      </w:r>
    </w:p>
    <w:p w:rsidR="00425D38" w:rsidRDefault="00425D38" w:rsidP="00792277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792277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A7" w:rsidRDefault="00D92AA7">
      <w:r>
        <w:separator/>
      </w:r>
    </w:p>
  </w:endnote>
  <w:endnote w:type="continuationSeparator" w:id="0">
    <w:p w:rsidR="00D92AA7" w:rsidRDefault="00D9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4C18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A7" w:rsidRDefault="00D92AA7">
      <w:r>
        <w:separator/>
      </w:r>
    </w:p>
  </w:footnote>
  <w:footnote w:type="continuationSeparator" w:id="0">
    <w:p w:rsidR="00D92AA7" w:rsidRDefault="00D92AA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1A78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5D38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227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9B1"/>
    <w:rsid w:val="008560D9"/>
    <w:rsid w:val="00864C18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6439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5D88"/>
    <w:rsid w:val="00D91D9B"/>
    <w:rsid w:val="00D92AA7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07D0-6443-4FF9-B27E-7C2C5862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PC-CENTRAL</cp:lastModifiedBy>
  <cp:revision>3</cp:revision>
  <cp:lastPrinted>2021-12-15T09:32:00Z</cp:lastPrinted>
  <dcterms:created xsi:type="dcterms:W3CDTF">2021-12-13T16:26:00Z</dcterms:created>
  <dcterms:modified xsi:type="dcterms:W3CDTF">2021-12-15T09:40:00Z</dcterms:modified>
</cp:coreProperties>
</file>