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1A991" w14:textId="77777777" w:rsidR="00E76B83" w:rsidRDefault="00E76B83" w:rsidP="00E76B83">
      <w:pPr>
        <w:pStyle w:val="Zhlav"/>
        <w:tabs>
          <w:tab w:val="left" w:pos="708"/>
        </w:tabs>
        <w:jc w:val="center"/>
      </w:pPr>
      <w:r>
        <w:t>MĚSTO BZENEC</w:t>
      </w:r>
    </w:p>
    <w:p w14:paraId="65B307D3" w14:textId="77777777" w:rsidR="00E76B83" w:rsidRDefault="00E76B83" w:rsidP="00E76B83">
      <w:pPr>
        <w:pStyle w:val="Zhlav"/>
        <w:tabs>
          <w:tab w:val="left" w:pos="708"/>
        </w:tabs>
        <w:jc w:val="center"/>
      </w:pPr>
      <w:r>
        <w:t>Zastupitelstvo města Bzence</w:t>
      </w:r>
    </w:p>
    <w:p w14:paraId="204015ED" w14:textId="77777777" w:rsidR="00E76B83" w:rsidRDefault="00E76B83" w:rsidP="00E76B83">
      <w:pPr>
        <w:spacing w:line="276" w:lineRule="auto"/>
        <w:jc w:val="center"/>
        <w:rPr>
          <w:b/>
        </w:rPr>
      </w:pPr>
    </w:p>
    <w:p w14:paraId="5595EAA1" w14:textId="77777777" w:rsidR="00E76B83" w:rsidRDefault="00E76B83" w:rsidP="00E76B83">
      <w:pPr>
        <w:spacing w:line="276" w:lineRule="auto"/>
        <w:jc w:val="center"/>
        <w:rPr>
          <w:b/>
        </w:rPr>
      </w:pPr>
    </w:p>
    <w:p w14:paraId="735711E7" w14:textId="7EFD0375" w:rsidR="00E76B83" w:rsidRDefault="00E76B83" w:rsidP="00E76B83">
      <w:pPr>
        <w:tabs>
          <w:tab w:val="left" w:pos="1080"/>
          <w:tab w:val="center" w:pos="453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</w:t>
      </w:r>
      <w:r w:rsidR="00331609">
        <w:rPr>
          <w:b/>
          <w:sz w:val="28"/>
          <w:szCs w:val="28"/>
        </w:rPr>
        <w:t>VAZNÁ VYHLÁŠKA MĚSTA BZENCE</w:t>
      </w:r>
      <w:r>
        <w:rPr>
          <w:b/>
          <w:sz w:val="28"/>
          <w:szCs w:val="28"/>
        </w:rPr>
        <w:t>,</w:t>
      </w:r>
    </w:p>
    <w:p w14:paraId="6E56CEF0" w14:textId="77777777" w:rsidR="00E76B83" w:rsidRDefault="00E76B83" w:rsidP="00E76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místním poplatku za obecní systém odpadového hospodářství</w:t>
      </w:r>
    </w:p>
    <w:p w14:paraId="134DCF7E" w14:textId="77777777" w:rsidR="00E76B83" w:rsidRDefault="00E76B83" w:rsidP="00E76B83">
      <w:pPr>
        <w:jc w:val="center"/>
        <w:rPr>
          <w:b/>
          <w:sz w:val="28"/>
          <w:szCs w:val="28"/>
        </w:rPr>
      </w:pPr>
    </w:p>
    <w:p w14:paraId="2B1DC375" w14:textId="77777777" w:rsidR="00E76B83" w:rsidRDefault="00E76B83" w:rsidP="00E76B8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FE01933" w14:textId="403CFE0B" w:rsidR="00E76B83" w:rsidRDefault="00E76B83" w:rsidP="00E76B8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města Bzence se</w:t>
      </w:r>
      <w:r w:rsidR="001D4D8B">
        <w:rPr>
          <w:rFonts w:ascii="Times New Roman" w:hAnsi="Times New Roman" w:cs="Times New Roman"/>
          <w:b w:val="0"/>
          <w:sz w:val="24"/>
          <w:szCs w:val="24"/>
        </w:rPr>
        <w:t xml:space="preserve"> na svém </w:t>
      </w:r>
      <w:r w:rsidR="009F44FB">
        <w:rPr>
          <w:rFonts w:ascii="Times New Roman" w:hAnsi="Times New Roman" w:cs="Times New Roman"/>
          <w:b w:val="0"/>
          <w:sz w:val="24"/>
          <w:szCs w:val="24"/>
        </w:rPr>
        <w:t>13</w:t>
      </w:r>
      <w:r w:rsidR="001D4D8B">
        <w:rPr>
          <w:rFonts w:ascii="Times New Roman" w:hAnsi="Times New Roman" w:cs="Times New Roman"/>
          <w:b w:val="0"/>
          <w:sz w:val="24"/>
          <w:szCs w:val="24"/>
        </w:rPr>
        <w:t xml:space="preserve">. zasedání konaném dne </w:t>
      </w:r>
      <w:r w:rsidR="009F44FB">
        <w:rPr>
          <w:rFonts w:ascii="Times New Roman" w:hAnsi="Times New Roman" w:cs="Times New Roman"/>
          <w:b w:val="0"/>
          <w:sz w:val="24"/>
          <w:szCs w:val="24"/>
        </w:rPr>
        <w:t>18</w:t>
      </w:r>
      <w:r w:rsidR="001D4D8B">
        <w:rPr>
          <w:rFonts w:ascii="Times New Roman" w:hAnsi="Times New Roman" w:cs="Times New Roman"/>
          <w:b w:val="0"/>
          <w:sz w:val="24"/>
          <w:szCs w:val="24"/>
        </w:rPr>
        <w:t>. 12.</w:t>
      </w:r>
      <w:r w:rsidR="00331609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3306D6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usneslo vydat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na základě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ustanovení § 14 zákona č. 565/1990 Sb., o místních poplatcích, ve znění pozdějších předpisů (dále jen „zákon o místních poplatcích“) a v souladu s ustanovením § 10 </w:t>
      </w:r>
      <w:r w:rsidR="009F44FB">
        <w:rPr>
          <w:rFonts w:ascii="Times New Roman" w:hAnsi="Times New Roman" w:cs="Times New Roman"/>
          <w:b w:val="0"/>
          <w:bCs w:val="0"/>
          <w:sz w:val="24"/>
          <w:szCs w:val="24"/>
        </w:rPr>
        <w:t>písm. d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9F4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 § 84 odst. 2 písm. h) zákona č. 128/2000 Sb., o obcích (obecní zřízení), ve znění pozdějších předpisů, </w:t>
      </w:r>
      <w:r>
        <w:rPr>
          <w:rFonts w:ascii="Times New Roman" w:hAnsi="Times New Roman" w:cs="Times New Roman"/>
          <w:bCs w:val="0"/>
          <w:sz w:val="24"/>
          <w:szCs w:val="24"/>
        </w:rPr>
        <w:t>tuto obecně závaznou vyhlášku</w:t>
      </w:r>
      <w:r w:rsidR="003316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43338E1F" w14:textId="77777777"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1</w:t>
      </w:r>
    </w:p>
    <w:p w14:paraId="2BE017E0" w14:textId="77777777"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Úvodní ustanovení</w:t>
      </w:r>
    </w:p>
    <w:p w14:paraId="4F00B355" w14:textId="77777777" w:rsidR="00E76B83" w:rsidRDefault="00E76B83" w:rsidP="00E76B83">
      <w:pPr>
        <w:pStyle w:val="Zkladntextodsazen"/>
        <w:numPr>
          <w:ilvl w:val="0"/>
          <w:numId w:val="1"/>
        </w:numPr>
        <w:spacing w:after="60" w:line="264" w:lineRule="auto"/>
      </w:pPr>
      <w:r>
        <w:t>Město Bzenec touto vyhláškou zavádí místní poplatek za obecní systém odpadového hospodářství (dále jen „poplatek“).</w:t>
      </w:r>
    </w:p>
    <w:p w14:paraId="68EC9E3E" w14:textId="77777777" w:rsidR="00E76B83" w:rsidRDefault="00E76B83" w:rsidP="00E76B83">
      <w:pPr>
        <w:numPr>
          <w:ilvl w:val="0"/>
          <w:numId w:val="1"/>
        </w:numPr>
        <w:spacing w:line="288" w:lineRule="auto"/>
        <w:jc w:val="both"/>
      </w:pPr>
      <w:r>
        <w:t>Správcem poplatku je Městský úřad Bzenec. Správa poplatku je výkonem přenesené působnosti.</w:t>
      </w:r>
      <w:r>
        <w:rPr>
          <w:vertAlign w:val="superscript"/>
        </w:rPr>
        <w:footnoteReference w:id="1"/>
      </w:r>
    </w:p>
    <w:p w14:paraId="587F8C9C" w14:textId="77777777"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2</w:t>
      </w:r>
    </w:p>
    <w:p w14:paraId="30421F94" w14:textId="77777777"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Poplatník</w:t>
      </w:r>
    </w:p>
    <w:p w14:paraId="73C2419C" w14:textId="77777777" w:rsidR="00E76B83" w:rsidRDefault="00E76B83" w:rsidP="00E76B83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>
        <w:t>Poplatníkem poplatku je</w:t>
      </w:r>
      <w:r>
        <w:rPr>
          <w:rStyle w:val="Znakapoznpodarou"/>
          <w:rFonts w:eastAsiaTheme="majorEastAsia"/>
        </w:rPr>
        <w:footnoteReference w:id="2"/>
      </w:r>
      <w:r>
        <w:t>:</w:t>
      </w:r>
    </w:p>
    <w:p w14:paraId="7E5BFD7F" w14:textId="77777777" w:rsidR="00E76B83" w:rsidRDefault="00E76B83" w:rsidP="00E76B83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fyzická osoba přihlášená v obci</w:t>
      </w:r>
      <w:r>
        <w:rPr>
          <w:rStyle w:val="Znakapoznpodarou"/>
          <w:rFonts w:ascii="Times New Roman" w:eastAsiaTheme="majorEastAsia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(ve městě Bzenec) nebo </w:t>
      </w:r>
    </w:p>
    <w:p w14:paraId="2A18ECD8" w14:textId="77777777" w:rsidR="00E76B83" w:rsidRDefault="00E76B83" w:rsidP="00E76B83">
      <w:pPr>
        <w:pStyle w:val="Default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vlastník nemovité věci zahrnující byt, rodinný dům nebo stavbu pro rodinnou rekreaci, ve které není přihlášená žádná fyzická osoba a</w:t>
      </w:r>
      <w:r w:rsidR="00A403B0">
        <w:rPr>
          <w:rFonts w:ascii="Times New Roman" w:hAnsi="Times New Roman" w:cs="Times New Roman"/>
        </w:rPr>
        <w:t xml:space="preserve"> která je umístěna na území města</w:t>
      </w:r>
      <w:r>
        <w:rPr>
          <w:rFonts w:ascii="Times New Roman" w:hAnsi="Times New Roman" w:cs="Times New Roman"/>
        </w:rPr>
        <w:t xml:space="preserve">. </w:t>
      </w:r>
    </w:p>
    <w:p w14:paraId="1942F01D" w14:textId="77777777" w:rsidR="00E76B83" w:rsidRDefault="00E76B83" w:rsidP="00E76B83">
      <w:pPr>
        <w:numPr>
          <w:ilvl w:val="0"/>
          <w:numId w:val="2"/>
        </w:numPr>
        <w:spacing w:before="120" w:after="60" w:line="264" w:lineRule="auto"/>
        <w:ind w:left="567" w:hanging="567"/>
        <w:jc w:val="both"/>
      </w:pPr>
      <w: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eastAsiaTheme="majorEastAsia"/>
        </w:rPr>
        <w:footnoteReference w:id="4"/>
      </w:r>
    </w:p>
    <w:p w14:paraId="4C4E8806" w14:textId="77777777" w:rsidR="00E76B83" w:rsidRDefault="00E76B83" w:rsidP="00E76B83">
      <w:pPr>
        <w:pStyle w:val="slalnk"/>
        <w:spacing w:before="480"/>
        <w:ind w:left="4185" w:firstLine="63"/>
        <w:jc w:val="left"/>
        <w:rPr>
          <w:szCs w:val="24"/>
        </w:rPr>
      </w:pPr>
      <w:r>
        <w:rPr>
          <w:szCs w:val="24"/>
        </w:rPr>
        <w:lastRenderedPageBreak/>
        <w:t>Čl. 3</w:t>
      </w:r>
    </w:p>
    <w:p w14:paraId="7BC52DC9" w14:textId="77777777" w:rsidR="00E76B83" w:rsidRDefault="00E76B83" w:rsidP="00E76B83">
      <w:pPr>
        <w:pStyle w:val="Nzvylnk"/>
        <w:ind w:left="3477" w:firstLine="63"/>
        <w:jc w:val="left"/>
        <w:rPr>
          <w:szCs w:val="24"/>
        </w:rPr>
      </w:pPr>
      <w:r>
        <w:rPr>
          <w:szCs w:val="24"/>
        </w:rPr>
        <w:t>Poplatkové období</w:t>
      </w:r>
    </w:p>
    <w:p w14:paraId="567A6F87" w14:textId="77777777" w:rsidR="00E76B83" w:rsidRDefault="00E76B83" w:rsidP="00E76B83">
      <w:pPr>
        <w:pStyle w:val="slalnk"/>
        <w:spacing w:before="480"/>
        <w:jc w:val="both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Poplatkovým obdobím poplatku je kalendářní rok. Dílčím obdobím je kalendářní měsíc.</w:t>
      </w:r>
      <w:r>
        <w:rPr>
          <w:rStyle w:val="Znakapoznpodarou"/>
          <w:rFonts w:eastAsiaTheme="majorEastAsia"/>
          <w:b w:val="0"/>
          <w:bCs w:val="0"/>
          <w:szCs w:val="24"/>
        </w:rPr>
        <w:footnoteReference w:id="5"/>
      </w:r>
    </w:p>
    <w:p w14:paraId="32158375" w14:textId="77777777"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4</w:t>
      </w:r>
    </w:p>
    <w:p w14:paraId="7E60EB2E" w14:textId="77777777"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14:paraId="672B2F15" w14:textId="77777777" w:rsidR="00E76B83" w:rsidRDefault="00E76B83" w:rsidP="00E76B83">
      <w:pPr>
        <w:numPr>
          <w:ilvl w:val="0"/>
          <w:numId w:val="3"/>
        </w:numPr>
        <w:spacing w:before="120" w:line="264" w:lineRule="auto"/>
        <w:jc w:val="both"/>
        <w:rPr>
          <w:color w:val="0070C0"/>
        </w:rPr>
      </w:pPr>
      <w:r>
        <w:t xml:space="preserve">Poplatník je povinen podat správci poplatku ohlášení nejpozději do 15 dnů ode dne vzniku své poplatkové povinnosti. </w:t>
      </w:r>
    </w:p>
    <w:p w14:paraId="7EBA1DB4" w14:textId="77777777" w:rsidR="00E76B83" w:rsidRDefault="00E76B83" w:rsidP="00E76B83">
      <w:pPr>
        <w:numPr>
          <w:ilvl w:val="0"/>
          <w:numId w:val="3"/>
        </w:numPr>
        <w:spacing w:before="120" w:line="312" w:lineRule="auto"/>
        <w:jc w:val="both"/>
      </w:pPr>
      <w:r>
        <w:t xml:space="preserve"> V ohlášení poplatník uvede</w:t>
      </w:r>
      <w:r>
        <w:rPr>
          <w:rStyle w:val="Znakapoznpodarou"/>
          <w:rFonts w:eastAsiaTheme="majorEastAsia"/>
        </w:rPr>
        <w:footnoteReference w:id="6"/>
      </w:r>
      <w:r>
        <w:t xml:space="preserve"> </w:t>
      </w:r>
    </w:p>
    <w:p w14:paraId="451283DE" w14:textId="77777777" w:rsidR="00E76B83" w:rsidRDefault="00E76B83" w:rsidP="00E76B83">
      <w:pPr>
        <w:numPr>
          <w:ilvl w:val="1"/>
          <w:numId w:val="3"/>
        </w:numPr>
        <w:spacing w:before="120" w:line="312" w:lineRule="auto"/>
        <w:jc w:val="both"/>
      </w:pPr>
      <w: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br/>
        <w:t>v poplatkových věcech,</w:t>
      </w:r>
    </w:p>
    <w:p w14:paraId="7259B0B0" w14:textId="77777777" w:rsidR="00E76B83" w:rsidRDefault="00E76B83" w:rsidP="00E76B83">
      <w:pPr>
        <w:numPr>
          <w:ilvl w:val="1"/>
          <w:numId w:val="3"/>
        </w:numPr>
        <w:spacing w:before="120" w:line="312" w:lineRule="auto"/>
        <w:jc w:val="both"/>
      </w:pPr>
      <w: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5DC565B" w14:textId="77777777" w:rsidR="00E76B83" w:rsidRDefault="00E76B83" w:rsidP="00E84D55">
      <w:pPr>
        <w:pStyle w:val="Odstavecseseznamem"/>
        <w:numPr>
          <w:ilvl w:val="1"/>
          <w:numId w:val="3"/>
        </w:numPr>
        <w:spacing w:before="120" w:line="312" w:lineRule="auto"/>
        <w:jc w:val="both"/>
      </w:pPr>
      <w:r>
        <w:t xml:space="preserve"> údaje rozhodné pro stanovení poplatku, zejména skutečnosti zakládající nárok na osvobození nebo úlevu</w:t>
      </w:r>
      <w:r w:rsidR="00A403B0">
        <w:t xml:space="preserve"> od poplatku.</w:t>
      </w:r>
    </w:p>
    <w:p w14:paraId="20E9DC2B" w14:textId="77777777" w:rsidR="00E76B83" w:rsidRDefault="00E76B83" w:rsidP="00E76B83">
      <w:pPr>
        <w:numPr>
          <w:ilvl w:val="0"/>
          <w:numId w:val="3"/>
        </w:numPr>
        <w:spacing w:before="120" w:line="264" w:lineRule="auto"/>
        <w:jc w:val="both"/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eastAsiaTheme="majorEastAsia"/>
        </w:rPr>
        <w:footnoteReference w:id="7"/>
      </w:r>
    </w:p>
    <w:p w14:paraId="46B021E1" w14:textId="77777777" w:rsidR="00E76B83" w:rsidRDefault="00E76B83" w:rsidP="00E76B83">
      <w:pPr>
        <w:numPr>
          <w:ilvl w:val="0"/>
          <w:numId w:val="3"/>
        </w:numPr>
        <w:spacing w:before="120" w:line="264" w:lineRule="auto"/>
        <w:jc w:val="both"/>
      </w:pPr>
      <w:r>
        <w:t>Dojde-li ke změně údajů uvedených v ohlášení, je poplatník povinen tuto změnu oznámit do 15 dnů ode dne, kdy nastala.</w:t>
      </w:r>
      <w:r>
        <w:rPr>
          <w:rStyle w:val="Znakapoznpodarou"/>
          <w:rFonts w:eastAsiaTheme="majorEastAsia"/>
        </w:rPr>
        <w:footnoteReference w:id="8"/>
      </w:r>
    </w:p>
    <w:p w14:paraId="6E10A0C8" w14:textId="77777777" w:rsidR="00E76B83" w:rsidRDefault="00E76B83" w:rsidP="00E76B83">
      <w:pPr>
        <w:numPr>
          <w:ilvl w:val="0"/>
          <w:numId w:val="3"/>
        </w:numPr>
        <w:spacing w:before="120" w:line="264" w:lineRule="auto"/>
        <w:jc w:val="both"/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eastAsiaTheme="majorEastAsia"/>
        </w:rPr>
        <w:footnoteReference w:id="9"/>
      </w:r>
    </w:p>
    <w:p w14:paraId="0EF51604" w14:textId="77777777" w:rsidR="00E76B83" w:rsidRDefault="00E76B83" w:rsidP="00E76B83">
      <w:pPr>
        <w:pStyle w:val="slalnk"/>
        <w:spacing w:before="480"/>
        <w:rPr>
          <w:i/>
          <w:szCs w:val="24"/>
        </w:rPr>
      </w:pPr>
      <w:r>
        <w:rPr>
          <w:szCs w:val="24"/>
        </w:rPr>
        <w:t>Čl. 5</w:t>
      </w:r>
    </w:p>
    <w:p w14:paraId="6B5A4695" w14:textId="77777777"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Sazba poplatku</w:t>
      </w:r>
    </w:p>
    <w:p w14:paraId="0152A5A3" w14:textId="5A0DF6CE" w:rsidR="00E76B83" w:rsidRDefault="00A403B0" w:rsidP="00E76B83">
      <w:pPr>
        <w:numPr>
          <w:ilvl w:val="0"/>
          <w:numId w:val="4"/>
        </w:numPr>
        <w:spacing w:before="120" w:after="60" w:line="264" w:lineRule="auto"/>
        <w:jc w:val="both"/>
        <w:rPr>
          <w:i/>
          <w:color w:val="0070C0"/>
        </w:rPr>
      </w:pPr>
      <w:r>
        <w:t xml:space="preserve">Výše poplatku činí </w:t>
      </w:r>
      <w:r w:rsidR="00B64563" w:rsidRPr="007C242E">
        <w:t>700</w:t>
      </w:r>
      <w:r w:rsidR="00E76B83" w:rsidRPr="009F44FB">
        <w:t>,</w:t>
      </w:r>
      <w:r w:rsidR="00E76B83">
        <w:t>- Kč.</w:t>
      </w:r>
    </w:p>
    <w:p w14:paraId="5AA91A15" w14:textId="77777777" w:rsidR="00E76B83" w:rsidRDefault="00FF6F6F" w:rsidP="00E76B83">
      <w:pPr>
        <w:numPr>
          <w:ilvl w:val="0"/>
          <w:numId w:val="4"/>
        </w:numPr>
        <w:spacing w:before="120" w:after="60" w:line="264" w:lineRule="auto"/>
        <w:jc w:val="both"/>
      </w:pPr>
      <w:r>
        <w:lastRenderedPageBreak/>
        <w:t>Poplatek</w:t>
      </w:r>
      <w:r w:rsidR="00E76B83">
        <w:t xml:space="preserve"> se v případě, že poplatková povinnost vznikla z důvodu přihlášení fyzické osoby v městě Bzenec, snižuje o jednu dvanáctinu za každý kalendářní měsíc, na jehož konci</w:t>
      </w:r>
      <w:r w:rsidR="00E76B83">
        <w:rPr>
          <w:rStyle w:val="Znakapoznpodarou"/>
          <w:rFonts w:eastAsiaTheme="majorEastAsia"/>
        </w:rPr>
        <w:footnoteReference w:id="10"/>
      </w:r>
    </w:p>
    <w:p w14:paraId="245A767E" w14:textId="77777777" w:rsidR="00E76B83" w:rsidRDefault="00E76B83" w:rsidP="00E76B83">
      <w:pPr>
        <w:spacing w:before="120" w:after="60" w:line="264" w:lineRule="auto"/>
        <w:ind w:left="567"/>
        <w:jc w:val="both"/>
      </w:pPr>
      <w:r>
        <w:t>a) není tato fyzická osoba přihlášena v městě Bzenec, nebo</w:t>
      </w:r>
    </w:p>
    <w:p w14:paraId="3D807D11" w14:textId="77777777" w:rsidR="00E76B83" w:rsidRDefault="00E76B83" w:rsidP="00E76B83">
      <w:pPr>
        <w:spacing w:before="120" w:after="60" w:line="264" w:lineRule="auto"/>
        <w:ind w:left="567"/>
        <w:jc w:val="both"/>
      </w:pPr>
      <w:r>
        <w:t>b) je tato fyzická osoba od poplatku osvobozena.</w:t>
      </w:r>
    </w:p>
    <w:p w14:paraId="054ABEFC" w14:textId="77777777" w:rsidR="00E76B83" w:rsidRDefault="00E76B83" w:rsidP="00E76B83">
      <w:pPr>
        <w:numPr>
          <w:ilvl w:val="0"/>
          <w:numId w:val="4"/>
        </w:numPr>
        <w:spacing w:before="120" w:after="60" w:line="264" w:lineRule="auto"/>
        <w:jc w:val="both"/>
      </w:pPr>
      <w: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>
        <w:rPr>
          <w:rStyle w:val="Znakapoznpodarou"/>
          <w:rFonts w:eastAsiaTheme="majorEastAsia"/>
        </w:rPr>
        <w:footnoteReference w:id="11"/>
      </w:r>
    </w:p>
    <w:p w14:paraId="1F8D79CE" w14:textId="77777777" w:rsidR="00E76B83" w:rsidRDefault="00E76B83" w:rsidP="00E76B83">
      <w:pPr>
        <w:spacing w:before="120" w:after="60" w:line="264" w:lineRule="auto"/>
        <w:ind w:left="567"/>
        <w:jc w:val="both"/>
      </w:pPr>
      <w:r>
        <w:t>a) je v této nemovité věci přihlášena alespoň 1 fyzická osoba,</w:t>
      </w:r>
    </w:p>
    <w:p w14:paraId="1186866A" w14:textId="77777777" w:rsidR="00E76B83" w:rsidRDefault="00E76B83" w:rsidP="00E76B83">
      <w:pPr>
        <w:spacing w:before="120" w:after="60" w:line="264" w:lineRule="auto"/>
        <w:ind w:left="567"/>
        <w:jc w:val="both"/>
      </w:pPr>
      <w:r>
        <w:t>b) poplatník nevlastní tuto nemovitou věc, nebo</w:t>
      </w:r>
    </w:p>
    <w:p w14:paraId="70DF5B49" w14:textId="77777777" w:rsidR="00E76B83" w:rsidRDefault="00E76B83" w:rsidP="00E76B83">
      <w:pPr>
        <w:spacing w:before="120" w:after="60" w:line="264" w:lineRule="auto"/>
        <w:ind w:left="567"/>
        <w:jc w:val="both"/>
        <w:rPr>
          <w:i/>
          <w:color w:val="0070C0"/>
        </w:rPr>
      </w:pPr>
      <w:r>
        <w:t>c) je poplatník od poplatku osvobozen</w:t>
      </w:r>
      <w:r>
        <w:rPr>
          <w:i/>
          <w:color w:val="0070C0"/>
        </w:rPr>
        <w:t>.</w:t>
      </w:r>
    </w:p>
    <w:p w14:paraId="43BDE400" w14:textId="77777777"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6</w:t>
      </w:r>
    </w:p>
    <w:p w14:paraId="66E09DCD" w14:textId="77777777"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Splatnost poplatku</w:t>
      </w:r>
    </w:p>
    <w:p w14:paraId="5212BE74" w14:textId="77777777" w:rsidR="00E76B83" w:rsidRDefault="00E76B83" w:rsidP="00E76B83">
      <w:pPr>
        <w:numPr>
          <w:ilvl w:val="0"/>
          <w:numId w:val="5"/>
        </w:numPr>
        <w:spacing w:before="120" w:line="264" w:lineRule="auto"/>
        <w:jc w:val="both"/>
      </w:pPr>
      <w:r>
        <w:t xml:space="preserve">Poplatek je splatný jednorázově, a to nejpozději do 30. června příslušného kalendářního roku. </w:t>
      </w:r>
    </w:p>
    <w:p w14:paraId="34214115" w14:textId="77777777" w:rsidR="00E76B83" w:rsidRDefault="00E76B83" w:rsidP="00E76B83">
      <w:pPr>
        <w:numPr>
          <w:ilvl w:val="0"/>
          <w:numId w:val="5"/>
        </w:numPr>
        <w:spacing w:before="120" w:line="264" w:lineRule="auto"/>
        <w:jc w:val="both"/>
      </w:pPr>
      <w:r>
        <w:t>Vznikne-li poplatková povinnost po datu splatnosti uvedeném v odstavci 1, je po</w:t>
      </w:r>
      <w:r w:rsidR="00A403B0">
        <w:t>platek splatný nejpozději do patnáctého</w:t>
      </w:r>
      <w:r>
        <w:t xml:space="preserve"> dne měsíce, který následuje po měsíci, ve kterém poplatková povinnost vznikla. </w:t>
      </w:r>
    </w:p>
    <w:p w14:paraId="7ACA8D67" w14:textId="77777777" w:rsidR="00E76B83" w:rsidRDefault="00E76B83" w:rsidP="00E76B83">
      <w:pPr>
        <w:numPr>
          <w:ilvl w:val="0"/>
          <w:numId w:val="5"/>
        </w:numPr>
        <w:spacing w:before="120" w:line="264" w:lineRule="auto"/>
        <w:jc w:val="both"/>
      </w:pPr>
      <w:r>
        <w:t xml:space="preserve">Lhůta splatnosti neskončí poplatníkovi dříve než lhůta pro podání ohlášení podle čl. 4 odst. 1 této vyhlášky. </w:t>
      </w:r>
    </w:p>
    <w:p w14:paraId="479FB343" w14:textId="77777777"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7</w:t>
      </w:r>
    </w:p>
    <w:p w14:paraId="54ACDB25" w14:textId="77777777"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Osvobození a úlevy</w:t>
      </w:r>
    </w:p>
    <w:p w14:paraId="065FF110" w14:textId="77777777" w:rsidR="00E76B83" w:rsidRDefault="00E76B83" w:rsidP="00E76B83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poplatku je osvobozena osoba, které poplatková povinnost vznikla z důvodu přihlášení v městě Bzenec a která je</w:t>
      </w:r>
      <w:r>
        <w:rPr>
          <w:rStyle w:val="Znakapoznpodarou"/>
          <w:rFonts w:ascii="Times New Roman" w:eastAsiaTheme="majorEastAsia" w:hAnsi="Times New Roman" w:cs="Times New Roman"/>
        </w:rPr>
        <w:footnoteReference w:id="12"/>
      </w:r>
      <w:r>
        <w:rPr>
          <w:rFonts w:ascii="Times New Roman" w:hAnsi="Times New Roman" w:cs="Times New Roman"/>
        </w:rPr>
        <w:t xml:space="preserve"> </w:t>
      </w:r>
    </w:p>
    <w:p w14:paraId="29AFA564" w14:textId="77777777" w:rsidR="00E76B83" w:rsidRDefault="00E76B83" w:rsidP="00E76B83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5268B81B" w14:textId="77777777" w:rsidR="00E76B83" w:rsidRDefault="00E76B83" w:rsidP="00E76B83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6BC84A" w14:textId="77777777" w:rsidR="00E76B83" w:rsidRDefault="00E76B83" w:rsidP="00E76B83">
      <w:pPr>
        <w:pStyle w:val="Default"/>
        <w:spacing w:after="53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FEF889D" w14:textId="77777777" w:rsidR="00E76B83" w:rsidRDefault="00E76B83" w:rsidP="00E76B83">
      <w:pPr>
        <w:pStyle w:val="Default"/>
        <w:ind w:left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6358BEAF" w14:textId="77777777" w:rsidR="00E76B83" w:rsidRDefault="00E76B83" w:rsidP="00E76B83">
      <w:pPr>
        <w:pStyle w:val="Default"/>
        <w:ind w:left="56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E981CA2" w14:textId="77777777" w:rsidR="00E76B83" w:rsidRDefault="00E76B83" w:rsidP="00E76B83">
      <w:pPr>
        <w:numPr>
          <w:ilvl w:val="0"/>
          <w:numId w:val="6"/>
        </w:numPr>
        <w:spacing w:before="120" w:line="264" w:lineRule="auto"/>
        <w:jc w:val="both"/>
      </w:pPr>
      <w:r>
        <w:lastRenderedPageBreak/>
        <w:t>Od poplatku se osvobozuje osoba, které poplatková povinnost vznikla z důvodu přihlášení v městě Bzenec a která</w:t>
      </w:r>
    </w:p>
    <w:p w14:paraId="0C8F639F" w14:textId="77777777" w:rsidR="00E76B83" w:rsidRDefault="00E76B83" w:rsidP="00E76B83">
      <w:pPr>
        <w:numPr>
          <w:ilvl w:val="1"/>
          <w:numId w:val="7"/>
        </w:numPr>
        <w:spacing w:line="264" w:lineRule="auto"/>
        <w:jc w:val="both"/>
      </w:pPr>
      <w:r>
        <w:t>se po dobu nejméně 10 měsíců v příslušném kalendářním roce nezdržuje na území města Bzence z důvodu pobytu v zahraničí,</w:t>
      </w:r>
    </w:p>
    <w:p w14:paraId="73ED8C65" w14:textId="77777777" w:rsidR="00E76B83" w:rsidRDefault="00E76B83" w:rsidP="00E76B83">
      <w:pPr>
        <w:numPr>
          <w:ilvl w:val="1"/>
          <w:numId w:val="7"/>
        </w:numPr>
        <w:spacing w:line="264" w:lineRule="auto"/>
        <w:jc w:val="both"/>
      </w:pPr>
      <w:r>
        <w:t>je přihlášena v sídle ohlašovny města Bze</w:t>
      </w:r>
      <w:r w:rsidR="0091400E">
        <w:t>nce, náměstí Svobody 73, 696 81</w:t>
      </w:r>
      <w:r>
        <w:t xml:space="preserve"> Bzenec a ve městě Bzenec se nezdržuje,</w:t>
      </w:r>
    </w:p>
    <w:p w14:paraId="7B300363" w14:textId="77777777" w:rsidR="00E76B83" w:rsidRDefault="00E76B83" w:rsidP="00E76B83">
      <w:pPr>
        <w:numPr>
          <w:ilvl w:val="1"/>
          <w:numId w:val="7"/>
        </w:numPr>
        <w:spacing w:line="264" w:lineRule="auto"/>
        <w:jc w:val="both"/>
      </w:pPr>
      <w:r>
        <w:t>bydlí v místech, kde není z důvodu hospodárnosti prováděn svoz komunálního odpadu (např. samoty).</w:t>
      </w:r>
    </w:p>
    <w:p w14:paraId="7BFEE12D" w14:textId="77777777" w:rsidR="00E76B83" w:rsidRDefault="00E76B83" w:rsidP="00E76B83">
      <w:pPr>
        <w:numPr>
          <w:ilvl w:val="0"/>
          <w:numId w:val="6"/>
        </w:numPr>
        <w:spacing w:before="120" w:line="264" w:lineRule="auto"/>
        <w:jc w:val="both"/>
      </w:pPr>
      <w:r>
        <w:t>Od poplatku se osvobozuje osoba, které poplatková povinnost vznikla z důvodu vlastnictví nemovité věci zahrnující byt, rodinný dům nebo stavbu pro rodinnou rekreaci, v níž není přihlášená žádná fyzická osoba a která se nachází na území města Bzence</w:t>
      </w:r>
    </w:p>
    <w:p w14:paraId="7C11710F" w14:textId="77777777" w:rsidR="00E76B83" w:rsidRDefault="00E76B83" w:rsidP="00E76B83">
      <w:pPr>
        <w:numPr>
          <w:ilvl w:val="1"/>
          <w:numId w:val="8"/>
        </w:numPr>
        <w:spacing w:line="264" w:lineRule="auto"/>
        <w:jc w:val="both"/>
      </w:pPr>
      <w:r>
        <w:t>a nachází se v místech, kde není z důvodu hospodárnosti prováděn svoz komunálního odpadu (např. samoty),</w:t>
      </w:r>
    </w:p>
    <w:p w14:paraId="442B3413" w14:textId="77777777" w:rsidR="00E76B83" w:rsidRDefault="00E76B83" w:rsidP="00E76B83">
      <w:pPr>
        <w:numPr>
          <w:ilvl w:val="1"/>
          <w:numId w:val="8"/>
        </w:numPr>
        <w:spacing w:line="264" w:lineRule="auto"/>
        <w:jc w:val="both"/>
      </w:pPr>
      <w:r>
        <w:t>pokud osoba ohlásí správci poplatku odstranění stavby neb</w:t>
      </w:r>
      <w:r w:rsidR="0091400E">
        <w:t>o změnu užívání stavby.</w:t>
      </w:r>
    </w:p>
    <w:p w14:paraId="48799ED5" w14:textId="77777777" w:rsidR="00E76B83" w:rsidRDefault="00E76B83" w:rsidP="00E76B83">
      <w:pPr>
        <w:numPr>
          <w:ilvl w:val="0"/>
          <w:numId w:val="6"/>
        </w:numPr>
        <w:spacing w:before="120" w:line="264" w:lineRule="auto"/>
        <w:jc w:val="both"/>
      </w:pPr>
      <w:r>
        <w:t>Úleva se poskytuje osobě, které poplatková povinnost vznikla z důvodu přihlášení v městě Bzenec, a která</w:t>
      </w:r>
    </w:p>
    <w:p w14:paraId="7CCF3ABA" w14:textId="77777777" w:rsidR="00E76B83" w:rsidRDefault="00E76B83" w:rsidP="00E76B83">
      <w:pPr>
        <w:pStyle w:val="Odstavecseseznamem"/>
        <w:numPr>
          <w:ilvl w:val="1"/>
          <w:numId w:val="6"/>
        </w:numPr>
        <w:tabs>
          <w:tab w:val="left" w:pos="3780"/>
        </w:tabs>
        <w:spacing w:line="264" w:lineRule="auto"/>
        <w:jc w:val="both"/>
      </w:pPr>
      <w:r>
        <w:t>do</w:t>
      </w:r>
      <w:r w:rsidR="0091400E">
        <w:t>sáhla v kalendářním roce věku 65</w:t>
      </w:r>
      <w:r>
        <w:t xml:space="preserve"> a více let, a to úleva ve výši 150,- Kč,</w:t>
      </w:r>
    </w:p>
    <w:p w14:paraId="350CDA3F" w14:textId="77777777" w:rsidR="00E76B83" w:rsidRDefault="00E76B83" w:rsidP="00E76B83">
      <w:pPr>
        <w:pStyle w:val="Odstavecseseznamem"/>
        <w:numPr>
          <w:ilvl w:val="1"/>
          <w:numId w:val="6"/>
        </w:numPr>
        <w:tabs>
          <w:tab w:val="left" w:pos="3780"/>
        </w:tabs>
        <w:spacing w:line="264" w:lineRule="auto"/>
        <w:jc w:val="both"/>
      </w:pPr>
      <w:r>
        <w:t>se po dobu nejméně 6 měsíců v příslušném kalendářním roce nezdržuje na území města Bzence z důvodu výkonu práce (zaměstnání) nebo studia mimo město Bzenec, a to úleva ve výši 50% poplatku.</w:t>
      </w:r>
    </w:p>
    <w:p w14:paraId="491D7349" w14:textId="77777777" w:rsidR="00E76B83" w:rsidRDefault="00E76B83" w:rsidP="00E76B83">
      <w:pPr>
        <w:pStyle w:val="Odstavecseseznamem"/>
        <w:numPr>
          <w:ilvl w:val="0"/>
          <w:numId w:val="6"/>
        </w:numPr>
        <w:tabs>
          <w:tab w:val="left" w:pos="3780"/>
        </w:tabs>
        <w:spacing w:line="264" w:lineRule="auto"/>
        <w:jc w:val="both"/>
      </w:pPr>
      <w:r>
        <w:t>Úleva se poskytuje osobě, které poplatková povinnost vznikla z důvodu vlastnictví nemovité věci zahrnující byt, rodinný dům nebo stavbu pro rodinnou rekreaci, ve které není přihlášená žádná fyzická osoba a která se nachází na území města Bzence, a která do</w:t>
      </w:r>
      <w:r w:rsidR="0091400E">
        <w:t>sáhla v kalendářním roce věku 65</w:t>
      </w:r>
      <w:r>
        <w:t xml:space="preserve"> a více let, a to úleva ve výši 150,- Kč.</w:t>
      </w:r>
    </w:p>
    <w:p w14:paraId="09DC8D8A" w14:textId="77777777" w:rsidR="00E76B83" w:rsidRDefault="00E76B83" w:rsidP="00E76B83">
      <w:pPr>
        <w:spacing w:before="120" w:line="264" w:lineRule="auto"/>
        <w:jc w:val="both"/>
      </w:pPr>
      <w:r>
        <w:t>(6) 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eastAsiaTheme="majorEastAsia"/>
        </w:rPr>
        <w:footnoteReference w:id="13"/>
      </w:r>
    </w:p>
    <w:p w14:paraId="6D2EAEB0" w14:textId="77777777"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8</w:t>
      </w:r>
    </w:p>
    <w:p w14:paraId="32F081AF" w14:textId="77777777" w:rsidR="00E76B83" w:rsidRDefault="001C75A2" w:rsidP="00E76B83">
      <w:pPr>
        <w:pStyle w:val="Nzvylnk"/>
        <w:rPr>
          <w:szCs w:val="24"/>
        </w:rPr>
      </w:pPr>
      <w:r>
        <w:rPr>
          <w:szCs w:val="24"/>
        </w:rPr>
        <w:t>Z</w:t>
      </w:r>
      <w:r w:rsidR="00E76B83">
        <w:rPr>
          <w:szCs w:val="24"/>
        </w:rPr>
        <w:t xml:space="preserve">výšení poplatku </w:t>
      </w:r>
    </w:p>
    <w:p w14:paraId="4FABF835" w14:textId="77777777" w:rsidR="00E76B83" w:rsidRDefault="001C75A2" w:rsidP="00411072">
      <w:pPr>
        <w:spacing w:before="120" w:line="264" w:lineRule="auto"/>
        <w:jc w:val="both"/>
      </w:pPr>
      <w:r>
        <w:t>Správce poplatku může stanovit zvýšení poplatku, jako následek za pozdní úhradu poplatku nebo jeho části, a to až do výše dvojnásobku rozdílu mezi částkou poplatku, která má být zaplacena, a částkou zaplacenou do původního dne splatnosti poplatku. Zvýšení poplatku je příslušenstvím poplatku sledujícím jeho osud</w:t>
      </w:r>
      <w:r w:rsidR="00E76B83">
        <w:t>.</w:t>
      </w:r>
      <w:r w:rsidR="00E76B83">
        <w:rPr>
          <w:rStyle w:val="Znakapoznpodarou"/>
          <w:rFonts w:eastAsiaTheme="majorEastAsia"/>
        </w:rPr>
        <w:footnoteReference w:id="14"/>
      </w:r>
    </w:p>
    <w:p w14:paraId="73754E80" w14:textId="77777777" w:rsidR="00701AA5" w:rsidRDefault="00701AA5" w:rsidP="00E76B83">
      <w:pPr>
        <w:pStyle w:val="slalnk"/>
        <w:spacing w:before="480"/>
        <w:rPr>
          <w:szCs w:val="24"/>
        </w:rPr>
      </w:pPr>
    </w:p>
    <w:p w14:paraId="120396BC" w14:textId="3EA5A344"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9</w:t>
      </w:r>
    </w:p>
    <w:p w14:paraId="2EBA52C2" w14:textId="77777777" w:rsidR="00E76B83" w:rsidRDefault="00E76B83" w:rsidP="00E76B83">
      <w:pPr>
        <w:pStyle w:val="slalnk"/>
        <w:spacing w:before="60" w:after="160"/>
        <w:rPr>
          <w:szCs w:val="24"/>
        </w:rPr>
      </w:pPr>
      <w:r>
        <w:rPr>
          <w:szCs w:val="24"/>
        </w:rPr>
        <w:t>Odpovědnost za zaplacení poplatku</w:t>
      </w:r>
      <w:r>
        <w:rPr>
          <w:rStyle w:val="Znakapoznpodarou"/>
          <w:rFonts w:eastAsiaTheme="majorEastAsia"/>
          <w:szCs w:val="24"/>
        </w:rPr>
        <w:footnoteReference w:id="15"/>
      </w:r>
    </w:p>
    <w:p w14:paraId="3D05B99D" w14:textId="77777777" w:rsidR="00E76B83" w:rsidRDefault="00E76B83" w:rsidP="00E76B83">
      <w:pPr>
        <w:numPr>
          <w:ilvl w:val="0"/>
          <w:numId w:val="10"/>
        </w:numPr>
        <w:spacing w:before="120" w:line="264" w:lineRule="auto"/>
        <w:jc w:val="both"/>
      </w:pPr>
      <w:r>
        <w:t xml:space="preserve">Vznikne-li nedoplatek na poplatku poplatníkovi, který je ke dni splatnosti nezletilý </w:t>
      </w:r>
      <w:r>
        <w:br/>
        <w:t xml:space="preserve">a nenabyl plné svéprávnosti nebo který je ke dni splatnosti omezen ve svéprávnosti </w:t>
      </w:r>
      <w: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FAE8D69" w14:textId="77777777" w:rsidR="00E76B83" w:rsidRDefault="00E76B83" w:rsidP="00E76B83">
      <w:pPr>
        <w:numPr>
          <w:ilvl w:val="0"/>
          <w:numId w:val="10"/>
        </w:numPr>
        <w:spacing w:before="120" w:line="264" w:lineRule="auto"/>
        <w:jc w:val="both"/>
      </w:pPr>
      <w:r>
        <w:t>V případě podle odstavce 1</w:t>
      </w:r>
      <w:r w:rsidR="00411072">
        <w:t xml:space="preserve"> stanoví</w:t>
      </w:r>
      <w:r>
        <w:t xml:space="preserve"> správce poplatku poplatek zákonnému zástupci nebo opatrovníkovi poplatníka.</w:t>
      </w:r>
    </w:p>
    <w:p w14:paraId="0673B2AA" w14:textId="77777777" w:rsidR="00E76B83" w:rsidRDefault="00E76B83" w:rsidP="00E76B83">
      <w:pPr>
        <w:numPr>
          <w:ilvl w:val="0"/>
          <w:numId w:val="10"/>
        </w:numPr>
        <w:spacing w:before="120" w:line="264" w:lineRule="auto"/>
        <w:jc w:val="both"/>
      </w:pPr>
      <w:r>
        <w:t>Je-li zákonných zástupců nebo opatrovníků více, jsou povinni plnit poplatkovou povinnost společně a nerozdílně.</w:t>
      </w:r>
    </w:p>
    <w:p w14:paraId="1F99DC1B" w14:textId="77777777" w:rsidR="00E76B83" w:rsidRDefault="00E76B83" w:rsidP="00E76B83">
      <w:pPr>
        <w:pStyle w:val="slalnk"/>
        <w:spacing w:before="480"/>
        <w:ind w:left="3540" w:firstLine="708"/>
        <w:jc w:val="left"/>
        <w:rPr>
          <w:szCs w:val="24"/>
        </w:rPr>
      </w:pPr>
      <w:r>
        <w:rPr>
          <w:szCs w:val="24"/>
        </w:rPr>
        <w:t>Čl. 10</w:t>
      </w:r>
    </w:p>
    <w:p w14:paraId="6C9DC20F" w14:textId="77777777" w:rsidR="00E76B83" w:rsidRDefault="00411072" w:rsidP="00E76B83">
      <w:pPr>
        <w:pStyle w:val="Nzvylnk"/>
        <w:ind w:left="3399" w:firstLine="141"/>
        <w:jc w:val="left"/>
        <w:rPr>
          <w:szCs w:val="24"/>
        </w:rPr>
      </w:pPr>
      <w:r>
        <w:rPr>
          <w:szCs w:val="24"/>
        </w:rPr>
        <w:t>Ostatní</w:t>
      </w:r>
      <w:r w:rsidR="00E76B83">
        <w:rPr>
          <w:szCs w:val="24"/>
        </w:rPr>
        <w:t xml:space="preserve"> ustanovení</w:t>
      </w:r>
    </w:p>
    <w:p w14:paraId="7B2AB9DF" w14:textId="77777777" w:rsidR="00E76B83" w:rsidRDefault="00E76B83" w:rsidP="00E76B83">
      <w:pPr>
        <w:numPr>
          <w:ilvl w:val="0"/>
          <w:numId w:val="11"/>
        </w:numPr>
        <w:spacing w:before="120" w:line="264" w:lineRule="auto"/>
        <w:jc w:val="both"/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eastAsiaTheme="majorEastAsia"/>
        </w:rPr>
        <w:footnoteReference w:id="16"/>
      </w:r>
    </w:p>
    <w:p w14:paraId="3129AD1A" w14:textId="77777777" w:rsidR="00E76B83" w:rsidRDefault="00E76B83" w:rsidP="00E76B83">
      <w:pPr>
        <w:numPr>
          <w:ilvl w:val="0"/>
          <w:numId w:val="11"/>
        </w:numPr>
        <w:spacing w:before="120" w:line="264" w:lineRule="auto"/>
        <w:jc w:val="both"/>
      </w:pPr>
      <w:r>
        <w:t>Na svěřenský fond, podílový fond nebo fond obhospodařovaný penzijní společností, do kterých je vložena nemovitá věc, se pro účely popla</w:t>
      </w:r>
      <w:r w:rsidR="000B55D5">
        <w:t>tků za komunální odpad hledí</w:t>
      </w:r>
      <w:r>
        <w:t xml:space="preserve"> jako na vlastníka této nemovité věci.</w:t>
      </w:r>
      <w:r>
        <w:rPr>
          <w:rStyle w:val="Znakapoznpodarou"/>
          <w:rFonts w:eastAsiaTheme="majorEastAsia"/>
        </w:rPr>
        <w:footnoteReference w:id="17"/>
      </w:r>
    </w:p>
    <w:p w14:paraId="26E2997C" w14:textId="77777777" w:rsidR="00E76B83" w:rsidRDefault="00E76B83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11</w:t>
      </w:r>
    </w:p>
    <w:p w14:paraId="5E26F81F" w14:textId="77777777" w:rsidR="00E76B83" w:rsidRDefault="00411072" w:rsidP="00E76B83">
      <w:pPr>
        <w:pStyle w:val="Nzvylnk"/>
        <w:rPr>
          <w:szCs w:val="24"/>
        </w:rPr>
      </w:pPr>
      <w:r>
        <w:rPr>
          <w:szCs w:val="24"/>
        </w:rPr>
        <w:t>Přechodné a zrušovací</w:t>
      </w:r>
      <w:r w:rsidR="00E76B83">
        <w:rPr>
          <w:szCs w:val="24"/>
        </w:rPr>
        <w:t xml:space="preserve"> ustanovení</w:t>
      </w:r>
    </w:p>
    <w:p w14:paraId="1809A172" w14:textId="77777777" w:rsidR="00411072" w:rsidRDefault="00E76B83" w:rsidP="00E76B83">
      <w:pPr>
        <w:numPr>
          <w:ilvl w:val="0"/>
          <w:numId w:val="12"/>
        </w:numPr>
        <w:spacing w:before="120" w:line="264" w:lineRule="auto"/>
        <w:jc w:val="both"/>
      </w:pPr>
      <w:r>
        <w:t>Poplatkové povinnosti vzniklé před nabytím účinnosti této vyhlášky se posuzují podle dosavadních právních předpisů.</w:t>
      </w:r>
      <w:bookmarkStart w:id="0" w:name="_Hlk54595723"/>
      <w:r w:rsidR="00411072">
        <w:t xml:space="preserve"> </w:t>
      </w:r>
    </w:p>
    <w:p w14:paraId="44834045" w14:textId="745BAFC7" w:rsidR="00E76B83" w:rsidRDefault="00E76B83" w:rsidP="00E76B83">
      <w:pPr>
        <w:numPr>
          <w:ilvl w:val="0"/>
          <w:numId w:val="12"/>
        </w:numPr>
        <w:spacing w:before="120" w:line="264" w:lineRule="auto"/>
        <w:jc w:val="both"/>
      </w:pPr>
      <w:r>
        <w:t>Zrušuje se obecně závazná vyhláška</w:t>
      </w:r>
      <w:bookmarkEnd w:id="0"/>
      <w:r w:rsidR="00331609">
        <w:t xml:space="preserve"> města Bzence č. </w:t>
      </w:r>
      <w:r w:rsidR="009F44FB">
        <w:t>1</w:t>
      </w:r>
      <w:r w:rsidR="00331609">
        <w:t>/</w:t>
      </w:r>
      <w:r w:rsidR="009F44FB">
        <w:t>2023</w:t>
      </w:r>
      <w:r>
        <w:t>, o místním popl</w:t>
      </w:r>
      <w:r w:rsidR="00331609">
        <w:t>atku za obecní systém odpad</w:t>
      </w:r>
      <w:r w:rsidR="00FF1594">
        <w:t xml:space="preserve">ového hospodářství </w:t>
      </w:r>
      <w:r w:rsidR="00701AA5">
        <w:t>schválená Zastupitelstvem města Bzenec dne 20.12.2023, vyhlášena ve Sbírce právních předpisů územně samosprávných celků dne 21.12.2023</w:t>
      </w:r>
      <w:r w:rsidR="00FF1594">
        <w:t>.</w:t>
      </w:r>
    </w:p>
    <w:p w14:paraId="7A457732" w14:textId="77777777" w:rsidR="00E76B83" w:rsidRDefault="00411072" w:rsidP="00E76B83">
      <w:pPr>
        <w:pStyle w:val="slalnk"/>
        <w:spacing w:before="480"/>
        <w:rPr>
          <w:szCs w:val="24"/>
        </w:rPr>
      </w:pPr>
      <w:r>
        <w:rPr>
          <w:szCs w:val="24"/>
        </w:rPr>
        <w:t>Čl. 12</w:t>
      </w:r>
    </w:p>
    <w:p w14:paraId="55FABB17" w14:textId="77777777" w:rsidR="00E76B83" w:rsidRDefault="00E76B83" w:rsidP="00E76B83">
      <w:pPr>
        <w:pStyle w:val="Nzvylnk"/>
        <w:rPr>
          <w:szCs w:val="24"/>
        </w:rPr>
      </w:pPr>
      <w:r>
        <w:rPr>
          <w:szCs w:val="24"/>
        </w:rPr>
        <w:t>Účinnost</w:t>
      </w:r>
    </w:p>
    <w:p w14:paraId="0EE83A00" w14:textId="7C134F9C" w:rsidR="00E76B83" w:rsidRDefault="000759FE" w:rsidP="000759FE">
      <w:pPr>
        <w:spacing w:before="120" w:line="288" w:lineRule="auto"/>
        <w:jc w:val="both"/>
      </w:pPr>
      <w:r>
        <w:t xml:space="preserve">(1) </w:t>
      </w:r>
      <w:r w:rsidR="00E76B83">
        <w:t>Tato vyhláška nab</w:t>
      </w:r>
      <w:r w:rsidR="00331609">
        <w:t xml:space="preserve">ývá účinnosti dnem 1. ledna </w:t>
      </w:r>
      <w:r w:rsidR="009F44FB">
        <w:t>2025</w:t>
      </w:r>
      <w:r w:rsidR="00E76B83">
        <w:t>.</w:t>
      </w:r>
    </w:p>
    <w:p w14:paraId="7E05C0E7" w14:textId="77777777" w:rsidR="000B55D5" w:rsidRDefault="000B55D5" w:rsidP="000759FE">
      <w:pPr>
        <w:spacing w:before="120" w:line="288" w:lineRule="auto"/>
        <w:jc w:val="both"/>
      </w:pPr>
    </w:p>
    <w:p w14:paraId="3DC652E2" w14:textId="16545BC1" w:rsidR="000759FE" w:rsidRDefault="000759FE" w:rsidP="000759FE">
      <w:pPr>
        <w:spacing w:before="120" w:line="288" w:lineRule="auto"/>
        <w:jc w:val="both"/>
      </w:pPr>
      <w:r>
        <w:t>(2) V souladu s ustanovením § 4 odst.2 zákona č. 35/2021 Sb.,</w:t>
      </w:r>
      <w:r w:rsidR="00B73686">
        <w:t xml:space="preserve"> o Sbírce právních předpisů územních samosprávných celků a některých správních úřadů, je z důvodu naléhavého obecného zájmu výjimečně stanoven dřívější počáte</w:t>
      </w:r>
      <w:r w:rsidR="00FF1594">
        <w:t xml:space="preserve">k účinnosti této </w:t>
      </w:r>
      <w:r w:rsidR="00B73686">
        <w:t>vyhlášky (viz odstavec 1 tohoto článku) než stanoví § 4 odst.2 ve své první větě. Naléhavý obecný zájem pro stanovení</w:t>
      </w:r>
      <w:r>
        <w:t xml:space="preserve"> </w:t>
      </w:r>
      <w:r w:rsidR="00B73686">
        <w:t xml:space="preserve">dřívějšího počátku účinnosti spočívá </w:t>
      </w:r>
      <w:proofErr w:type="gramStart"/>
      <w:r w:rsidR="00B73686">
        <w:t xml:space="preserve">především </w:t>
      </w:r>
      <w:r w:rsidR="003306D6">
        <w:t xml:space="preserve"> v</w:t>
      </w:r>
      <w:proofErr w:type="gramEnd"/>
      <w:r w:rsidR="003306D6">
        <w:t xml:space="preserve"> </w:t>
      </w:r>
      <w:r w:rsidR="003317B0">
        <w:t>důvodu</w:t>
      </w:r>
      <w:r w:rsidR="00FD60A5">
        <w:t>, že poplatkovým obdobím místního poplatku za obecní systém odpadového hospodářství</w:t>
      </w:r>
      <w:r w:rsidR="003317B0">
        <w:t xml:space="preserve"> je kalendářní rok.</w:t>
      </w:r>
      <w:r w:rsidR="001D6F42">
        <w:t xml:space="preserve"> </w:t>
      </w:r>
    </w:p>
    <w:p w14:paraId="7C667067" w14:textId="77777777" w:rsidR="00E76B83" w:rsidRDefault="00E76B83" w:rsidP="00E76B83">
      <w:pPr>
        <w:spacing w:before="120" w:line="288" w:lineRule="auto"/>
        <w:ind w:firstLine="708"/>
        <w:jc w:val="both"/>
      </w:pPr>
    </w:p>
    <w:p w14:paraId="00F32A7D" w14:textId="77777777" w:rsidR="00E76B83" w:rsidRDefault="00E76B83" w:rsidP="00E76B83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0BB1B5AF" w14:textId="77777777" w:rsidR="000B55D5" w:rsidRDefault="000B55D5" w:rsidP="00E76B83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3B93BDDD" w14:textId="77777777" w:rsidR="00E76B83" w:rsidRDefault="00E76B83" w:rsidP="00E76B83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14:paraId="2DE78A9C" w14:textId="77777777" w:rsidR="00E76B83" w:rsidRDefault="00E76B83" w:rsidP="00E76B83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</w:p>
    <w:p w14:paraId="26BD5133" w14:textId="77777777" w:rsidR="00E76B83" w:rsidRDefault="00E76B83" w:rsidP="00E76B83">
      <w:pPr>
        <w:pStyle w:val="Zkladntext"/>
        <w:tabs>
          <w:tab w:val="left" w:pos="720"/>
          <w:tab w:val="left" w:pos="6120"/>
        </w:tabs>
        <w:spacing w:after="0" w:line="264" w:lineRule="auto"/>
        <w:jc w:val="both"/>
      </w:pPr>
      <w:r>
        <w:t>……………………………</w:t>
      </w:r>
      <w:r w:rsidR="00664C3B">
        <w:t>…….</w:t>
      </w:r>
      <w:r>
        <w:t xml:space="preserve">                                               ……………………………….</w:t>
      </w:r>
    </w:p>
    <w:p w14:paraId="47E0D2CA" w14:textId="77777777" w:rsidR="00E76B83" w:rsidRDefault="00664C3B" w:rsidP="00E76B83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t xml:space="preserve">        Ing. arch. Erik Ebringer</w:t>
      </w:r>
      <w:r w:rsidR="001970B0">
        <w:t xml:space="preserve">      </w:t>
      </w:r>
      <w:r>
        <w:t xml:space="preserve">                                                      </w:t>
      </w:r>
      <w:r w:rsidR="001970B0">
        <w:t xml:space="preserve">    </w:t>
      </w:r>
      <w:r>
        <w:t xml:space="preserve"> Miroslav Goliáš     </w:t>
      </w:r>
    </w:p>
    <w:p w14:paraId="1703713E" w14:textId="2A80AFFA" w:rsidR="00E76B83" w:rsidRDefault="00664C3B" w:rsidP="00E76B83">
      <w:pPr>
        <w:pStyle w:val="Zkladntext"/>
        <w:tabs>
          <w:tab w:val="left" w:pos="1080"/>
          <w:tab w:val="left" w:pos="7020"/>
        </w:tabs>
        <w:spacing w:after="0" w:line="264" w:lineRule="auto"/>
      </w:pPr>
      <w:r>
        <w:t xml:space="preserve">               </w:t>
      </w:r>
      <w:r w:rsidR="00E76B83">
        <w:t xml:space="preserve">starosta města                                                                 </w:t>
      </w:r>
      <w:r>
        <w:t xml:space="preserve">      </w:t>
      </w:r>
      <w:r w:rsidR="00701AA5">
        <w:t xml:space="preserve">1. </w:t>
      </w:r>
      <w:r>
        <w:t>místostarosta města</w:t>
      </w:r>
    </w:p>
    <w:p w14:paraId="7A1C138A" w14:textId="77777777" w:rsidR="00E76B83" w:rsidRDefault="00E76B83" w:rsidP="00E76B83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222681EE" w14:textId="77777777" w:rsidR="00E76B83" w:rsidRDefault="00E76B83" w:rsidP="00E76B83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3A535769" w14:textId="77777777" w:rsidR="00E76B83" w:rsidRDefault="00E76B83" w:rsidP="00E76B83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2A4D29B8" w14:textId="77777777" w:rsidR="00E76B83" w:rsidRDefault="00E76B83" w:rsidP="00E76B83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6D4631C3" w14:textId="77777777" w:rsidR="00E76B83" w:rsidRDefault="00E76B83" w:rsidP="00E76B83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p w14:paraId="38EFEF57" w14:textId="77777777" w:rsidR="00E76B83" w:rsidRDefault="00E76B83" w:rsidP="00E76B83"/>
    <w:p w14:paraId="729D15A3" w14:textId="77777777" w:rsidR="00342107" w:rsidRPr="0038254C" w:rsidRDefault="00342107" w:rsidP="0038254C">
      <w:pPr>
        <w:jc w:val="both"/>
      </w:pPr>
    </w:p>
    <w:sectPr w:rsidR="00342107" w:rsidRPr="003825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7B3F8" w14:textId="77777777" w:rsidR="007D72B1" w:rsidRDefault="007D72B1" w:rsidP="00E76B83">
      <w:r>
        <w:separator/>
      </w:r>
    </w:p>
  </w:endnote>
  <w:endnote w:type="continuationSeparator" w:id="0">
    <w:p w14:paraId="15A89DA5" w14:textId="77777777" w:rsidR="007D72B1" w:rsidRDefault="007D72B1" w:rsidP="00E7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8055081"/>
      <w:docPartObj>
        <w:docPartGallery w:val="Page Numbers (Bottom of Page)"/>
        <w:docPartUnique/>
      </w:docPartObj>
    </w:sdtPr>
    <w:sdtEndPr/>
    <w:sdtContent>
      <w:p w14:paraId="27E1C504" w14:textId="77777777" w:rsidR="00F07ABC" w:rsidRDefault="00F07A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0B0">
          <w:rPr>
            <w:noProof/>
          </w:rPr>
          <w:t>5</w:t>
        </w:r>
        <w:r>
          <w:fldChar w:fldCharType="end"/>
        </w:r>
      </w:p>
    </w:sdtContent>
  </w:sdt>
  <w:p w14:paraId="1B4FFB61" w14:textId="77777777" w:rsidR="00F07ABC" w:rsidRDefault="00F07A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8C1F3" w14:textId="77777777" w:rsidR="007D72B1" w:rsidRDefault="007D72B1" w:rsidP="00E76B83">
      <w:r>
        <w:separator/>
      </w:r>
    </w:p>
  </w:footnote>
  <w:footnote w:type="continuationSeparator" w:id="0">
    <w:p w14:paraId="689A8A68" w14:textId="77777777" w:rsidR="007D72B1" w:rsidRDefault="007D72B1" w:rsidP="00E76B83">
      <w:r>
        <w:continuationSeparator/>
      </w:r>
    </w:p>
  </w:footnote>
  <w:footnote w:id="1">
    <w:p w14:paraId="06A81F1E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rStyle w:val="Znakapoznpodarou"/>
          <w:rFonts w:eastAsiaTheme="majorEastAsia"/>
          <w:sz w:val="18"/>
          <w:szCs w:val="18"/>
        </w:rPr>
        <w:t xml:space="preserve"> </w:t>
      </w:r>
      <w:r w:rsidRPr="004571C3">
        <w:rPr>
          <w:sz w:val="18"/>
          <w:szCs w:val="18"/>
        </w:rPr>
        <w:t>§ 15 odst. 1,2 zákona o místních poplatcích</w:t>
      </w:r>
    </w:p>
  </w:footnote>
  <w:footnote w:id="2">
    <w:p w14:paraId="7ABE8734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rStyle w:val="Znakapoznpodarou"/>
          <w:rFonts w:eastAsiaTheme="majorEastAsia"/>
          <w:sz w:val="18"/>
          <w:szCs w:val="18"/>
        </w:rPr>
        <w:t xml:space="preserve"> §</w:t>
      </w:r>
      <w:r w:rsidRPr="004571C3">
        <w:rPr>
          <w:sz w:val="18"/>
          <w:szCs w:val="18"/>
        </w:rPr>
        <w:t xml:space="preserve"> 10e zákona o místních poplatcích</w:t>
      </w:r>
    </w:p>
  </w:footnote>
  <w:footnote w:id="3">
    <w:p w14:paraId="7A55D6C4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rStyle w:val="Znakapoznpodarou"/>
          <w:rFonts w:eastAsiaTheme="majorEastAsia"/>
          <w:sz w:val="18"/>
          <w:szCs w:val="18"/>
        </w:rPr>
        <w:t xml:space="preserve"> </w:t>
      </w:r>
      <w:r w:rsidRPr="004571C3">
        <w:rPr>
          <w:sz w:val="18"/>
          <w:szCs w:val="18"/>
        </w:rPr>
        <w:t xml:space="preserve">Za přihlášení fyzické osoby se podle § 16c zákona o místních poplatcích považuje </w:t>
      </w:r>
    </w:p>
    <w:p w14:paraId="4A1D073A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sz w:val="18"/>
          <w:szCs w:val="18"/>
        </w:rPr>
        <w:t xml:space="preserve">a) přihlášení k trvalému pobytu podle zákona o evidenci obyvatel, nebo  </w:t>
      </w:r>
    </w:p>
    <w:p w14:paraId="56AB16CF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C96DBC3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sz w:val="18"/>
          <w:szCs w:val="18"/>
        </w:rPr>
        <w:t>1. kterému byl povolen trvalý pobyt,</w:t>
      </w:r>
    </w:p>
    <w:p w14:paraId="4279BC81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sz w:val="18"/>
          <w:szCs w:val="18"/>
        </w:rPr>
        <w:t>2. který na území České republiky pobývá přechodně po dobu delší než 3 měsíce,</w:t>
      </w:r>
    </w:p>
    <w:p w14:paraId="534173A8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0FEE939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E45E67B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</w:t>
      </w:r>
      <w:r w:rsidRPr="004571C3">
        <w:rPr>
          <w:rStyle w:val="Znakapoznpodarou"/>
          <w:rFonts w:eastAsiaTheme="majorEastAsia"/>
          <w:sz w:val="18"/>
          <w:szCs w:val="18"/>
        </w:rPr>
        <w:t>§</w:t>
      </w:r>
      <w:r w:rsidRPr="004571C3">
        <w:rPr>
          <w:sz w:val="18"/>
          <w:szCs w:val="18"/>
        </w:rPr>
        <w:t xml:space="preserve"> 10p zákona o místních poplatcích</w:t>
      </w:r>
    </w:p>
  </w:footnote>
  <w:footnote w:id="5">
    <w:p w14:paraId="7AA7CE0D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10o odst. 1,2 zákona o místních poplatcích</w:t>
      </w:r>
    </w:p>
  </w:footnote>
  <w:footnote w:id="6">
    <w:p w14:paraId="1298D2F8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14a odst. 2 zákona o místních poplatcích</w:t>
      </w:r>
    </w:p>
  </w:footnote>
  <w:footnote w:id="7">
    <w:p w14:paraId="0BE22C85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14a odst. 3 zákona o místních poplatcích</w:t>
      </w:r>
    </w:p>
  </w:footnote>
  <w:footnote w:id="8">
    <w:p w14:paraId="7ED2952C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14a odst. 4 zákona o místních poplatcích</w:t>
      </w:r>
    </w:p>
  </w:footnote>
  <w:footnote w:id="9">
    <w:p w14:paraId="6FB1B54A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14a odst. 5 zákona o místních poplatcích</w:t>
      </w:r>
    </w:p>
  </w:footnote>
  <w:footnote w:id="10">
    <w:p w14:paraId="0F84BEEA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 § 10h odst. 2 ve spojení s § 10o odst. 2 zákona o místních poplatcích</w:t>
      </w:r>
    </w:p>
  </w:footnote>
  <w:footnote w:id="11">
    <w:p w14:paraId="729CC131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02AC58C2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10g zákona o místních poplatcích</w:t>
      </w:r>
    </w:p>
  </w:footnote>
  <w:footnote w:id="13">
    <w:p w14:paraId="28D5C9F1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14a odst. 6 zákona o místních poplatcích</w:t>
      </w:r>
    </w:p>
  </w:footnote>
  <w:footnote w:id="14">
    <w:p w14:paraId="2CB0F6A0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11</w:t>
      </w:r>
      <w:r w:rsidR="0091400E" w:rsidRPr="004571C3">
        <w:rPr>
          <w:sz w:val="18"/>
          <w:szCs w:val="18"/>
        </w:rPr>
        <w:t xml:space="preserve">c </w:t>
      </w:r>
      <w:r w:rsidRPr="004571C3">
        <w:rPr>
          <w:sz w:val="18"/>
          <w:szCs w:val="18"/>
        </w:rPr>
        <w:t>zákona o místních poplatcích</w:t>
      </w:r>
    </w:p>
  </w:footnote>
  <w:footnote w:id="15">
    <w:p w14:paraId="1BF21AF7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12 zákona o místních poplatcích</w:t>
      </w:r>
    </w:p>
  </w:footnote>
  <w:footnote w:id="16">
    <w:p w14:paraId="32012A1B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10q zákona o místních poplatcích</w:t>
      </w:r>
    </w:p>
  </w:footnote>
  <w:footnote w:id="17">
    <w:p w14:paraId="71B9265F" w14:textId="77777777" w:rsidR="00E76B83" w:rsidRPr="004571C3" w:rsidRDefault="00E76B83" w:rsidP="00E76B83">
      <w:pPr>
        <w:pStyle w:val="Textpoznpodarou"/>
        <w:rPr>
          <w:sz w:val="18"/>
          <w:szCs w:val="18"/>
        </w:rPr>
      </w:pPr>
      <w:r w:rsidRPr="004571C3">
        <w:rPr>
          <w:rStyle w:val="Znakapoznpodarou"/>
          <w:rFonts w:eastAsiaTheme="majorEastAsia"/>
          <w:sz w:val="18"/>
          <w:szCs w:val="18"/>
        </w:rPr>
        <w:footnoteRef/>
      </w:r>
      <w:r w:rsidRPr="004571C3"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312277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057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147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7165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7014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19115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43548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8247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6397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4404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8168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764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4C"/>
    <w:rsid w:val="00034575"/>
    <w:rsid w:val="000759FE"/>
    <w:rsid w:val="00090E23"/>
    <w:rsid w:val="000B55D5"/>
    <w:rsid w:val="000B5AC0"/>
    <w:rsid w:val="0015672D"/>
    <w:rsid w:val="001970B0"/>
    <w:rsid w:val="001C75A2"/>
    <w:rsid w:val="001D4D8B"/>
    <w:rsid w:val="001D6F42"/>
    <w:rsid w:val="001F0F07"/>
    <w:rsid w:val="002F5084"/>
    <w:rsid w:val="003306D6"/>
    <w:rsid w:val="00331609"/>
    <w:rsid w:val="003317B0"/>
    <w:rsid w:val="00342107"/>
    <w:rsid w:val="0037634A"/>
    <w:rsid w:val="0038254C"/>
    <w:rsid w:val="00411072"/>
    <w:rsid w:val="0043551A"/>
    <w:rsid w:val="004571C3"/>
    <w:rsid w:val="005504D3"/>
    <w:rsid w:val="00594E65"/>
    <w:rsid w:val="00606A9A"/>
    <w:rsid w:val="00664C3B"/>
    <w:rsid w:val="00701AA5"/>
    <w:rsid w:val="00712BEB"/>
    <w:rsid w:val="00717661"/>
    <w:rsid w:val="007D72B1"/>
    <w:rsid w:val="0091400E"/>
    <w:rsid w:val="009C1C66"/>
    <w:rsid w:val="009F44FB"/>
    <w:rsid w:val="00A20F6D"/>
    <w:rsid w:val="00A403B0"/>
    <w:rsid w:val="00AC31FE"/>
    <w:rsid w:val="00B64563"/>
    <w:rsid w:val="00B73686"/>
    <w:rsid w:val="00B83591"/>
    <w:rsid w:val="00BC76B0"/>
    <w:rsid w:val="00D5063C"/>
    <w:rsid w:val="00E121B3"/>
    <w:rsid w:val="00E76B83"/>
    <w:rsid w:val="00E84D55"/>
    <w:rsid w:val="00F07ABC"/>
    <w:rsid w:val="00F13F1E"/>
    <w:rsid w:val="00FD60A5"/>
    <w:rsid w:val="00FF1594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3E43"/>
  <w15:chartTrackingRefBased/>
  <w15:docId w15:val="{A9747291-C4F0-4FCB-A3DC-B940A6A8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6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76B8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6B8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76B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76B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76B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76B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76B8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76B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76B83"/>
    <w:pPr>
      <w:ind w:left="720"/>
      <w:contextualSpacing/>
    </w:pPr>
  </w:style>
  <w:style w:type="paragraph" w:customStyle="1" w:styleId="nzevzkona">
    <w:name w:val="název zákona"/>
    <w:basedOn w:val="Nzev"/>
    <w:rsid w:val="00E76B8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76B8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76B83"/>
    <w:pPr>
      <w:spacing w:before="60" w:after="160"/>
    </w:pPr>
  </w:style>
  <w:style w:type="paragraph" w:customStyle="1" w:styleId="Default">
    <w:name w:val="Default"/>
    <w:rsid w:val="00E76B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E76B83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E76B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6B8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7A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A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EB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64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1365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Plichtová</dc:creator>
  <cp:keywords/>
  <dc:description/>
  <cp:lastModifiedBy>Bc. Lucie Jurasová</cp:lastModifiedBy>
  <cp:revision>4</cp:revision>
  <cp:lastPrinted>2023-12-06T16:01:00Z</cp:lastPrinted>
  <dcterms:created xsi:type="dcterms:W3CDTF">2024-12-04T15:28:00Z</dcterms:created>
  <dcterms:modified xsi:type="dcterms:W3CDTF">2024-12-19T08:04:00Z</dcterms:modified>
</cp:coreProperties>
</file>