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jc w:val="center"/>
        <w:spacing w:before="0" w:after="0" w:line="276" w:lineRule="auto"/>
        <w:widowControl w:val="off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</w:t>
      </w:r>
      <w:r>
        <w:rPr>
          <w:rFonts w:ascii="Arial" w:hAnsi="Arial" w:cs="Arial"/>
          <w:b/>
          <w:bCs/>
          <w:sz w:val="24"/>
          <w:szCs w:val="24"/>
        </w:rPr>
        <w:t xml:space="preserve">bec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Příšov</w:t>
      </w:r>
      <w:r/>
    </w:p>
    <w:p>
      <w:pPr>
        <w:pStyle w:val="831"/>
        <w:jc w:val="center"/>
        <w:spacing w:before="0" w:after="0" w:line="276" w:lineRule="auto"/>
        <w:widowControl w:val="off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Zastupitelstvo obce </w:t>
      </w:r>
      <w:r>
        <w:rPr>
          <w:rFonts w:ascii="Arial" w:hAnsi="Arial" w:cs="Arial"/>
          <w:b/>
          <w:bCs/>
          <w:sz w:val="24"/>
          <w:szCs w:val="24"/>
        </w:rPr>
        <w:t xml:space="preserve">Příšov</w:t>
      </w:r>
      <w:r/>
    </w:p>
    <w:p>
      <w:pPr>
        <w:pStyle w:val="831"/>
        <w:jc w:val="center"/>
        <w:spacing w:before="0" w:after="0" w:line="276" w:lineRule="auto"/>
        <w:widowControl w:val="off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Obecně závazná vyhláška obce</w:t>
      </w:r>
      <w:r>
        <w:rPr>
          <w:rFonts w:ascii="Arial" w:hAnsi="Arial" w:cs="Arial"/>
          <w:b/>
          <w:bCs/>
          <w:sz w:val="24"/>
          <w:szCs w:val="24"/>
        </w:rPr>
        <w:t xml:space="preserve"> Příšov</w:t>
      </w:r>
      <w:r>
        <w:rPr>
          <w:rFonts w:ascii="Arial" w:hAnsi="Arial" w:cs="Arial"/>
          <w:b/>
          <w:bCs/>
          <w:sz w:val="24"/>
          <w:szCs w:val="24"/>
        </w:rPr>
        <w:t xml:space="preserve"> č.</w:t>
      </w:r>
      <w:r>
        <w:rPr>
          <w:rFonts w:ascii="Arial" w:hAnsi="Arial" w:cs="Arial"/>
          <w:b/>
          <w:bCs/>
          <w:sz w:val="24"/>
          <w:szCs w:val="24"/>
        </w:rPr>
        <w:t xml:space="preserve"> 1</w:t>
      </w:r>
      <w:r>
        <w:rPr>
          <w:rFonts w:ascii="Arial" w:hAnsi="Arial" w:cs="Arial"/>
          <w:b/>
          <w:bCs/>
          <w:sz w:val="24"/>
          <w:szCs w:val="24"/>
        </w:rPr>
        <w:t xml:space="preserve">/20</w:t>
      </w:r>
      <w:r>
        <w:rPr>
          <w:rFonts w:ascii="Arial" w:hAnsi="Arial" w:cs="Arial"/>
          <w:b/>
          <w:bCs/>
          <w:sz w:val="24"/>
          <w:szCs w:val="24"/>
        </w:rPr>
        <w:t xml:space="preserve">24</w:t>
      </w:r>
      <w:r>
        <w:rPr>
          <w:rFonts w:ascii="Arial" w:hAnsi="Arial" w:cs="Arial"/>
          <w:b/>
          <w:bCs/>
          <w:sz w:val="24"/>
          <w:szCs w:val="24"/>
        </w:rPr>
        <w:t xml:space="preserve">,</w:t>
      </w:r>
      <w:r/>
    </w:p>
    <w:p>
      <w:pPr>
        <w:pStyle w:val="831"/>
        <w:jc w:val="center"/>
        <w:spacing w:before="0" w:after="0" w:line="240" w:lineRule="auto"/>
        <w:widowControl w:val="off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místním poplatku za odkládání komunálního odpadu z nemovité věci</w:t>
      </w:r>
      <w:r/>
    </w:p>
    <w:p>
      <w:pPr>
        <w:pStyle w:val="831"/>
        <w:numPr>
          <w:ilvl w:val="0"/>
          <w:numId w:val="0"/>
        </w:numPr>
        <w:ind w:left="0" w:firstLine="0"/>
        <w:jc w:val="both"/>
        <w:spacing w:before="0" w:after="0" w:line="264" w:lineRule="auto"/>
        <w:widowControl w:val="off"/>
        <w:tabs>
          <w:tab w:val="clear" w:pos="720" w:leader="none"/>
          <w:tab w:val="left" w:pos="2977" w:leader="none"/>
        </w:tabs>
        <w:rPr>
          <w:rFonts w:ascii="Arial" w:hAnsi="Arial" w:cs="Arial"/>
        </w:rPr>
        <w:outlineLvl w:val="0"/>
      </w:pPr>
      <w:r>
        <w:rPr>
          <w:rFonts w:ascii="Arial" w:hAnsi="Arial" w:cs="Arial"/>
        </w:rPr>
      </w:r>
      <w:r/>
    </w:p>
    <w:p>
      <w:pPr>
        <w:pStyle w:val="831"/>
        <w:numPr>
          <w:ilvl w:val="0"/>
          <w:numId w:val="0"/>
        </w:numPr>
        <w:ind w:left="0" w:firstLine="0"/>
        <w:jc w:val="both"/>
        <w:spacing w:before="0" w:after="0" w:line="264" w:lineRule="auto"/>
        <w:widowControl w:val="off"/>
        <w:tabs>
          <w:tab w:val="clear" w:pos="720" w:leader="none"/>
          <w:tab w:val="left" w:pos="2977" w:leader="none"/>
        </w:tabs>
        <w:rPr>
          <w:rFonts w:ascii="Arial" w:hAnsi="Arial" w:cs="Arial"/>
        </w:rPr>
        <w:outlineLvl w:val="0"/>
      </w:pPr>
      <w:r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Příšov schválilo na svém zasedání dne 11.3.2024 </w:t>
      </w:r>
      <w:r>
        <w:rPr>
          <w:rFonts w:ascii="Arial" w:hAnsi="Arial" w:cs="Arial"/>
        </w:rPr>
        <w:t xml:space="preserve">usnesením na základě § 14 zákona č. 565/1990 Sb., o místních poplatcích, ve zně</w:t>
      </w:r>
      <w:r>
        <w:rPr>
          <w:rFonts w:ascii="Arial" w:hAnsi="Arial" w:cs="Arial"/>
        </w:rPr>
        <w:t xml:space="preserve">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1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Úvodní ustanovení</w:t>
      </w:r>
      <w:r/>
    </w:p>
    <w:p>
      <w:pPr>
        <w:pStyle w:val="831"/>
        <w:numPr>
          <w:ilvl w:val="0"/>
          <w:numId w:val="5"/>
        </w:numPr>
        <w:jc w:val="both"/>
        <w:spacing w:before="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Příšov</w:t>
      </w:r>
      <w:r>
        <w:rPr>
          <w:rFonts w:ascii="Arial" w:hAnsi="Arial" w:cs="Arial"/>
        </w:rPr>
        <w:t xml:space="preserve"> touto vyhláškou zavádí místní poplatek za odkládání komunálního odpadu z nemovité věci (dále jen „poplatek“).</w:t>
      </w:r>
      <w:r/>
    </w:p>
    <w:p>
      <w:pPr>
        <w:pStyle w:val="831"/>
        <w:jc w:val="both"/>
        <w:spacing w:before="0" w:after="0" w:line="288" w:lineRule="auto"/>
        <w:widowControl w:val="off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(2)   </w:t>
      </w:r>
      <w:r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 xml:space="preserve">Obecní</w:t>
      </w:r>
      <w:r>
        <w:rPr>
          <w:rFonts w:ascii="Arial" w:hAnsi="Arial" w:cs="Arial"/>
        </w:rPr>
        <w:t xml:space="preserve"> úřad</w:t>
      </w:r>
      <w:r>
        <w:rPr>
          <w:rFonts w:ascii="Arial" w:hAnsi="Arial" w:cs="Arial"/>
        </w:rPr>
        <w:t xml:space="preserve"> Příšov</w:t>
      </w:r>
      <w:r>
        <w:rPr>
          <w:rFonts w:ascii="Arial" w:hAnsi="Arial" w:cs="Arial"/>
        </w:rPr>
        <w:t xml:space="preserve">.</w:t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2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Předmět poplatku, poplatník a plátce poplatku</w:t>
      </w:r>
      <w:r/>
    </w:p>
    <w:p>
      <w:pPr>
        <w:pStyle w:val="831"/>
        <w:numPr>
          <w:ilvl w:val="0"/>
          <w:numId w:val="2"/>
        </w:numPr>
        <w:jc w:val="both"/>
        <w:spacing w:before="120" w:after="60" w:line="264" w:lineRule="auto"/>
        <w:widowControl w:val="o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Předmětem poplatku je odkládání směsného komunálního odpadu z jednotlivé nemovité věci zahrnující byt, rodinný dům nebo stavbu pro rodinnou rekreaci, která se nachází na území obce.</w:t>
      </w:r>
      <w:r/>
    </w:p>
    <w:p>
      <w:pPr>
        <w:pStyle w:val="831"/>
        <w:numPr>
          <w:ilvl w:val="0"/>
          <w:numId w:val="2"/>
        </w:numPr>
        <w:jc w:val="both"/>
        <w:spacing w:before="120" w:after="60" w:line="264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Poplatníkem poplatku je</w:t>
      </w:r>
      <w:r/>
    </w:p>
    <w:p>
      <w:pPr>
        <w:pStyle w:val="831"/>
        <w:ind w:firstLine="567"/>
        <w:spacing w:before="0" w:after="53" w:line="240" w:lineRule="auto"/>
        <w:widowControl w:val="o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a) fyzická osoba, která má v nemovité věci bydliště, nebo </w:t>
      </w:r>
      <w:r/>
    </w:p>
    <w:p>
      <w:pPr>
        <w:pStyle w:val="831"/>
        <w:ind w:firstLine="567"/>
        <w:spacing w:before="0" w:after="0" w:line="240" w:lineRule="auto"/>
        <w:widowControl w:val="o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vlastník nemovité věci, ve které nemá bydliště žádná fyzická osoba. </w:t>
      </w:r>
      <w:r/>
    </w:p>
    <w:p>
      <w:pPr>
        <w:pStyle w:val="831"/>
        <w:numPr>
          <w:ilvl w:val="0"/>
          <w:numId w:val="2"/>
        </w:numPr>
        <w:jc w:val="both"/>
        <w:spacing w:before="12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Plátcem poplatku je </w:t>
      </w:r>
      <w:r/>
    </w:p>
    <w:p>
      <w:pPr>
        <w:pStyle w:val="831"/>
        <w:ind w:firstLine="567"/>
        <w:spacing w:before="0" w:after="53" w:line="240" w:lineRule="auto"/>
        <w:widowControl w:val="o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a) společenství vlastníků jednotek, pokud pro dům vzniklo, nebo </w:t>
      </w:r>
      <w:r/>
    </w:p>
    <w:p>
      <w:pPr>
        <w:pStyle w:val="831"/>
        <w:ind w:firstLine="567"/>
        <w:spacing w:before="0" w:after="0" w:line="240" w:lineRule="auto"/>
        <w:widowControl w:val="o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vlastník nemovité věci v ostatních případech. </w:t>
      </w:r>
      <w:r/>
    </w:p>
    <w:p>
      <w:pPr>
        <w:pStyle w:val="831"/>
        <w:numPr>
          <w:ilvl w:val="0"/>
          <w:numId w:val="2"/>
        </w:numPr>
        <w:jc w:val="both"/>
        <w:spacing w:before="12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Plátce poplatku je povinen vybrat poplatek od poplatníka</w:t>
      </w:r>
      <w:r>
        <w:rPr>
          <w:rFonts w:ascii="Arial" w:hAnsi="Arial" w:cs="Arial"/>
        </w:rPr>
        <w:t xml:space="preserve">.</w:t>
      </w:r>
      <w:r/>
    </w:p>
    <w:p>
      <w:pPr>
        <w:pStyle w:val="831"/>
        <w:numPr>
          <w:ilvl w:val="0"/>
          <w:numId w:val="2"/>
        </w:numPr>
        <w:jc w:val="both"/>
        <w:spacing w:before="120" w:after="60" w:line="264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Spoluvlastníci nemovité věci zahrnující byt, rodinný dům nebo stavbu pro rodinnou rekreaci jsou povinni plnit poplatkovou povinnost společně a nerozdílně.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ind w:left="4122" w:firstLine="126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3</w:t>
      </w:r>
      <w:r/>
    </w:p>
    <w:p>
      <w:pPr>
        <w:pStyle w:val="831"/>
        <w:ind w:left="3477" w:firstLine="63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Poplatkové období</w:t>
      </w:r>
      <w:r/>
    </w:p>
    <w:p>
      <w:pPr>
        <w:pStyle w:val="831"/>
        <w:ind w:firstLine="708"/>
        <w:jc w:val="both"/>
        <w:spacing w:before="120" w:after="0" w:line="312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Poplatkovým obdobím poplatku je </w:t>
      </w:r>
      <w:r>
        <w:rPr>
          <w:rFonts w:ascii="Arial" w:hAnsi="Arial" w:cs="Arial"/>
        </w:rPr>
        <w:t xml:space="preserve">daný kalendářní rok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p>
      <w:pPr>
        <w:pStyle w:val="831"/>
        <w:jc w:val="center"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p>
      <w:pPr>
        <w:pStyle w:val="831"/>
        <w:jc w:val="center"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4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Ohlašovací povinnost</w:t>
      </w:r>
      <w:r/>
    </w:p>
    <w:p>
      <w:pPr>
        <w:pStyle w:val="831"/>
        <w:numPr>
          <w:ilvl w:val="0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Plátce poplatku je povinen podat správci poplatku ohlášení nejpozději do </w:t>
      </w:r>
      <w:r>
        <w:rPr>
          <w:rFonts w:ascii="Arial" w:hAnsi="Arial" w:cs="Arial"/>
        </w:rPr>
        <w:t xml:space="preserve">30</w:t>
      </w:r>
      <w:r>
        <w:rPr>
          <w:rFonts w:ascii="Arial" w:hAnsi="Arial" w:cs="Arial"/>
        </w:rPr>
        <w:t xml:space="preserve">  dnů ode dne, kdy nabyl postavení plátce poplatku. Pozbytí postavení plátce ohlásí plátce poplatku správci poplatku ve lhůtě </w:t>
      </w:r>
      <w:r>
        <w:rPr>
          <w:rFonts w:ascii="Arial" w:hAnsi="Arial" w:cs="Arial"/>
        </w:rPr>
        <w:t xml:space="preserve">15</w:t>
      </w:r>
      <w:r>
        <w:rPr>
          <w:rFonts w:ascii="Arial" w:hAnsi="Arial" w:cs="Arial"/>
        </w:rPr>
        <w:t xml:space="preserve"> dnů.</w:t>
      </w:r>
      <w:r/>
    </w:p>
    <w:p>
      <w:pPr>
        <w:pStyle w:val="831"/>
        <w:numPr>
          <w:ilvl w:val="0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V ohlášení plátce poplatku uvede </w:t>
      </w:r>
      <w:r/>
    </w:p>
    <w:p>
      <w:pPr>
        <w:pStyle w:val="831"/>
        <w:numPr>
          <w:ilvl w:val="1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jméno, po</w:t>
      </w:r>
      <w:r>
        <w:rPr>
          <w:rFonts w:ascii="Arial" w:hAnsi="Arial" w:cs="Arial"/>
        </w:rPr>
        <w:t xml:space="preserve">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  <w:r/>
    </w:p>
    <w:p>
      <w:pPr>
        <w:pStyle w:val="831"/>
        <w:numPr>
          <w:ilvl w:val="1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  <w:r/>
    </w:p>
    <w:p>
      <w:pPr>
        <w:pStyle w:val="831"/>
        <w:numPr>
          <w:ilvl w:val="1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další údaje rozhodné pro stanovení poplatku, zejména identifikační údaje nemovité věci zahrnující byt, rodinný dům nebo stavbu pro rodinnou rekreaci podle katastru nemovitostí</w:t>
      </w:r>
      <w:r>
        <w:rPr>
          <w:rFonts w:ascii="Arial" w:hAnsi="Arial" w:cs="Arial"/>
        </w:rPr>
        <w:t xml:space="preserve">.</w:t>
      </w:r>
      <w:r/>
    </w:p>
    <w:p>
      <w:pPr>
        <w:pStyle w:val="831"/>
        <w:numPr>
          <w:ilvl w:val="0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numPr>
          <w:ilvl w:val="0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Dojde-li ke změně údajů uvedených v ohlášení, je plátce povinen tuto změnu oznámit do </w:t>
      </w:r>
      <w:r>
        <w:rPr>
          <w:rFonts w:ascii="Arial" w:hAnsi="Arial" w:cs="Arial"/>
        </w:rPr>
        <w:t xml:space="preserve">30</w:t>
      </w:r>
      <w:r>
        <w:rPr>
          <w:rFonts w:ascii="Arial" w:hAnsi="Arial" w:cs="Arial"/>
        </w:rPr>
        <w:t xml:space="preserve"> dnů ode dne, kdy nastala.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numPr>
          <w:ilvl w:val="0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Povinnost ohlásit ú</w:t>
      </w:r>
      <w:r>
        <w:rPr>
          <w:rFonts w:ascii="Arial" w:hAnsi="Arial" w:cs="Arial"/>
        </w:rPr>
        <w:t xml:space="preserve">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numPr>
          <w:ilvl w:val="0"/>
          <w:numId w:val="3"/>
        </w:numPr>
        <w:jc w:val="both"/>
        <w:spacing w:before="120" w:after="0" w:line="312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Není-li plátce, plní ohlašovací povinnost poplatník.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5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  <w:color w:val="000000"/>
          <w:vertAlign w:val="superscript"/>
        </w:rPr>
      </w:pPr>
      <w:r>
        <w:rPr>
          <w:rFonts w:ascii="Arial" w:hAnsi="Arial" w:cs="Arial"/>
          <w:b/>
          <w:bCs/>
        </w:rPr>
        <w:t xml:space="preserve">Základ poplatku</w:t>
      </w:r>
      <w:r/>
    </w:p>
    <w:p>
      <w:pPr>
        <w:pStyle w:val="831"/>
        <w:numPr>
          <w:ilvl w:val="0"/>
          <w:numId w:val="8"/>
        </w:numPr>
        <w:jc w:val="both"/>
        <w:spacing w:before="12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Základem dílčího poplatku je kapacita soustřeďovacích prostředků pro nemovitou věc na odpad za kalendářní měsíc v litrech připadající na poplatníka. </w:t>
      </w:r>
      <w:r/>
    </w:p>
    <w:p>
      <w:pPr>
        <w:pStyle w:val="831"/>
        <w:numPr>
          <w:ilvl w:val="0"/>
          <w:numId w:val="8"/>
        </w:numPr>
        <w:jc w:val="both"/>
        <w:spacing w:before="0" w:after="0" w:line="240" w:lineRule="auto"/>
        <w:widowControl w:val="o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Objednanou kapacitou soustřeďovacích prostředků pro nemovitou věc na kalendářní měsíc připadající na poplatníka je </w:t>
      </w:r>
      <w:r/>
    </w:p>
    <w:p>
      <w:pPr>
        <w:pStyle w:val="831"/>
        <w:ind w:left="567" w:firstLine="0"/>
        <w:jc w:val="both"/>
        <w:spacing w:before="0" w:after="55" w:line="240" w:lineRule="auto"/>
        <w:widowControl w:val="o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a) podíl objednané kapacity soustřeďovacích prostředků pro tuto nemovitou věc na kalendářní měsíc a počtu fyzických osob, které v této nemovité věci mají bydliště na konci kalendářního měsíce, nebo</w:t>
      </w:r>
      <w:r/>
    </w:p>
    <w:p>
      <w:pPr>
        <w:pStyle w:val="831"/>
        <w:ind w:left="567" w:firstLine="0"/>
        <w:jc w:val="both"/>
        <w:spacing w:before="0" w:after="0" w:line="240" w:lineRule="auto"/>
        <w:widowControl w:val="o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kapacita soustřeďovacích prostředků pro tuto nemovitou věc na kalendářní měsíc v případě, že v nemovité věci nemá bydliště žádná fyzická osoba. </w:t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6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Sazba poplatku</w:t>
      </w:r>
      <w:r/>
    </w:p>
    <w:p>
      <w:pPr>
        <w:pStyle w:val="831"/>
        <w:ind w:left="567" w:firstLine="0"/>
        <w:jc w:val="both"/>
        <w:spacing w:before="12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  <w:i/>
          <w:iCs/>
          <w:color w:val="0070c0"/>
        </w:rPr>
        <w:t xml:space="preserve"> </w:t>
      </w:r>
      <w:r>
        <w:rPr>
          <w:rFonts w:ascii="Arial" w:hAnsi="Arial" w:cs="Arial"/>
        </w:rPr>
        <w:t xml:space="preserve">Sazba poplatku činí </w:t>
      </w:r>
      <w:r>
        <w:rPr>
          <w:rFonts w:ascii="Arial" w:hAnsi="Arial" w:cs="Arial"/>
        </w:rPr>
        <w:t xml:space="preserve">0,825</w:t>
      </w:r>
      <w:r>
        <w:rPr>
          <w:rFonts w:ascii="Arial" w:hAnsi="Arial" w:cs="Arial"/>
        </w:rPr>
        <w:t xml:space="preserve"> Kč za litr.</w:t>
      </w:r>
      <w:r/>
    </w:p>
    <w:p>
      <w:pPr>
        <w:pStyle w:val="831"/>
        <w:ind w:left="4167" w:firstLine="153"/>
        <w:jc w:val="both"/>
        <w:spacing w:before="120" w:after="60" w:line="264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p>
      <w:pPr>
        <w:pStyle w:val="831"/>
        <w:ind w:left="4167" w:firstLine="153"/>
        <w:jc w:val="both"/>
        <w:spacing w:before="120" w:after="60" w:line="264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</w:t>
      </w:r>
      <w:r>
        <w:rPr>
          <w:rFonts w:ascii="Arial" w:hAnsi="Arial" w:cs="Arial"/>
          <w:b/>
          <w:bCs/>
        </w:rPr>
        <w:t xml:space="preserve">l. 7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  <w:color w:val="000000"/>
          <w:vertAlign w:val="superscript"/>
        </w:rPr>
      </w:pPr>
      <w:r>
        <w:rPr>
          <w:rFonts w:ascii="Arial" w:hAnsi="Arial" w:cs="Arial"/>
          <w:b/>
          <w:bCs/>
        </w:rPr>
        <w:t xml:space="preserve">Výpočet poplatku</w:t>
      </w:r>
      <w:r/>
    </w:p>
    <w:p>
      <w:pPr>
        <w:pStyle w:val="831"/>
        <w:numPr>
          <w:ilvl w:val="0"/>
          <w:numId w:val="6"/>
        </w:numPr>
        <w:jc w:val="both"/>
        <w:spacing w:before="12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Poplatek se vypočte jako součet dílčích poplatků za jednotlivé kalendářní měsíce, na jejichž konci </w:t>
      </w:r>
      <w:r/>
    </w:p>
    <w:p>
      <w:pPr>
        <w:pStyle w:val="831"/>
        <w:ind w:left="567" w:firstLine="0"/>
        <w:jc w:val="both"/>
        <w:spacing w:before="12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a) měl poplatník v nemovité věci bydliště, nebo </w:t>
      </w:r>
      <w:r/>
    </w:p>
    <w:p>
      <w:pPr>
        <w:pStyle w:val="831"/>
        <w:ind w:left="567" w:firstLine="0"/>
        <w:jc w:val="both"/>
        <w:spacing w:before="12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b) neměla v nemovité věci bydliště žádná fyzická osoba v případě, že poplatníkem je vlastník této nemovité věci. </w:t>
      </w:r>
      <w:r/>
    </w:p>
    <w:p>
      <w:pPr>
        <w:pStyle w:val="831"/>
        <w:numPr>
          <w:ilvl w:val="0"/>
          <w:numId w:val="6"/>
        </w:numPr>
        <w:jc w:val="both"/>
        <w:spacing w:before="120" w:after="6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Dílčí poplatek za kalendářní měsíc se vypočte jako součin základu dílčího poplatku zaokrouhleného na celé litry nahoru a sazby pro tento základ. </w:t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8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Splatnost poplatku</w:t>
      </w:r>
      <w:r/>
    </w:p>
    <w:p>
      <w:pPr>
        <w:pStyle w:val="831"/>
        <w:numPr>
          <w:ilvl w:val="0"/>
          <w:numId w:val="4"/>
        </w:numPr>
        <w:jc w:val="both"/>
        <w:spacing w:before="120" w:after="60" w:line="264" w:lineRule="auto"/>
        <w:widowControl w:val="off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Plátce poplatku uhradí první část poplatku za období od 1.1.2024 do 30.6.2024 nejpozději do 15.7.2024, a druhou část poplatku za období od 1.7.2024 do 31.12.2024 nejpozději do 15.2.2025. </w:t>
      </w:r>
      <w:r/>
    </w:p>
    <w:p>
      <w:pPr>
        <w:pStyle w:val="831"/>
        <w:numPr>
          <w:ilvl w:val="0"/>
          <w:numId w:val="4"/>
        </w:numPr>
        <w:jc w:val="both"/>
        <w:spacing w:before="120" w:after="60" w:line="264" w:lineRule="auto"/>
        <w:widowControl w:val="off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Vznikla-li povinnost úhrady poplatku po datu splatnosti dle odst. 1, je poplatek splatný do 15 dnů po ukončení měsíce, v němž poplatková povinnost vznikla.</w:t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9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Navýšení poplatku </w:t>
      </w:r>
      <w:r/>
    </w:p>
    <w:p>
      <w:pPr>
        <w:pStyle w:val="831"/>
        <w:numPr>
          <w:ilvl w:val="0"/>
          <w:numId w:val="7"/>
        </w:numPr>
        <w:jc w:val="both"/>
        <w:spacing w:before="120" w:after="0" w:line="312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Nebudou-li poplatky zaplaceny poplatníkem včas nebo ve správné výši, vyměří mu správce poplatku poplatek platebním výměrem nebo hromadným předpisným seznamem.</w:t>
      </w:r>
      <w:r/>
    </w:p>
    <w:p>
      <w:pPr>
        <w:pStyle w:val="839"/>
        <w:numPr>
          <w:ilvl w:val="0"/>
          <w:numId w:val="7"/>
        </w:numPr>
        <w:contextualSpacing/>
        <w:jc w:val="both"/>
        <w:spacing w:before="120" w:after="0" w:line="312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color w:val="000000"/>
        </w:rPr>
        <w:t xml:space="preserve">N</w:t>
      </w:r>
      <w:r>
        <w:rPr>
          <w:rFonts w:ascii="Arial" w:hAnsi="Arial" w:cs="Arial"/>
        </w:rPr>
        <w:t xml:space="preserve">ebudou-li poplatky odvedeny plátcem poplatku včas nebo ve správné výši, vyměří mu správce poplatku poplatek platebním výměrem k přímé úhradě.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9"/>
        <w:numPr>
          <w:ilvl w:val="0"/>
          <w:numId w:val="7"/>
        </w:numPr>
        <w:contextualSpacing/>
        <w:jc w:val="both"/>
        <w:spacing w:before="120" w:after="0" w:line="312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Včas nezaplacené nebo neodvedené poplatky nebo část těchto poplatků může správce poplatku zvýšit až na trojnásobek; toto zvýšení je příslušenstvím poplatku sledujícím jeho osud.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ind w:left="3540" w:firstLine="708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10</w:t>
      </w:r>
      <w:r/>
    </w:p>
    <w:p>
      <w:pPr>
        <w:pStyle w:val="831"/>
        <w:ind w:left="3399" w:firstLine="141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Společná ustanovení</w:t>
      </w:r>
      <w:r/>
    </w:p>
    <w:p>
      <w:pPr>
        <w:pStyle w:val="831"/>
        <w:numPr>
          <w:ilvl w:val="0"/>
          <w:numId w:val="1"/>
        </w:numPr>
        <w:jc w:val="both"/>
        <w:spacing w:before="120" w:after="0" w:line="264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Ustanovení </w:t>
      </w:r>
      <w:r>
        <w:rPr>
          <w:rFonts w:ascii="Arial" w:hAnsi="Arial" w:cs="Arial"/>
        </w:rPr>
        <w:t xml:space="preserve">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numPr>
          <w:ilvl w:val="0"/>
          <w:numId w:val="1"/>
        </w:numPr>
        <w:jc w:val="both"/>
        <w:spacing w:before="120" w:after="0" w:line="264" w:lineRule="auto"/>
        <w:widowControl w:val="off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</w:rPr>
        <w:t xml:space="preserve"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Fonts w:ascii="Arial" w:hAnsi="Arial" w:cs="Arial"/>
          <w:color w:val="000000"/>
          <w:vertAlign w:val="superscript"/>
        </w:rPr>
        <w:t xml:space="preserve"> </w:t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11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Přechodné ustanovení</w:t>
      </w:r>
      <w:r/>
    </w:p>
    <w:p>
      <w:pPr>
        <w:pStyle w:val="831"/>
        <w:ind w:left="567" w:firstLine="0"/>
        <w:jc w:val="both"/>
        <w:spacing w:before="120" w:after="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Poplatkové povinnosti vzniklé před nabytím účinnosti této vyhlášky se posuzují podle dosavadních právních předpisů.</w:t>
      </w:r>
      <w:r/>
    </w:p>
    <w:p>
      <w:pPr>
        <w:pStyle w:val="831"/>
        <w:jc w:val="both"/>
        <w:spacing w:before="120" w:after="0" w:line="264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31"/>
        <w:jc w:val="center"/>
        <w:keepLines/>
        <w:keepNext/>
        <w:spacing w:before="480" w:after="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1</w:t>
      </w:r>
      <w:r>
        <w:rPr>
          <w:rFonts w:ascii="Arial" w:hAnsi="Arial" w:cs="Arial"/>
          <w:b/>
          <w:bCs/>
        </w:rPr>
        <w:t xml:space="preserve">2</w:t>
      </w:r>
      <w:r/>
    </w:p>
    <w:p>
      <w:pPr>
        <w:pStyle w:val="831"/>
        <w:jc w:val="center"/>
        <w:keepLines/>
        <w:keepNext/>
        <w:spacing w:before="60" w:after="160" w:line="240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Účinnost</w:t>
      </w:r>
      <w:r/>
    </w:p>
    <w:p>
      <w:pPr>
        <w:pStyle w:val="831"/>
        <w:jc w:val="both"/>
        <w:spacing w:before="120" w:after="0" w:line="288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  <w:tab/>
        <w:t xml:space="preserve">Touto vyhláškou se ruší vyhláška č. 1/2022 ze dne 28.12.2022. </w:t>
      </w:r>
      <w:r/>
    </w:p>
    <w:p>
      <w:pPr>
        <w:pStyle w:val="831"/>
        <w:jc w:val="both"/>
        <w:spacing w:before="120" w:after="0" w:line="288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  <w:t xml:space="preserve">(2)</w:t>
        <w:tab/>
      </w:r>
      <w:r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 xml:space="preserve">12.3.2024</w:t>
      </w:r>
      <w:r>
        <w:rPr>
          <w:rFonts w:ascii="Arial" w:hAnsi="Arial" w:cs="Arial"/>
        </w:rPr>
        <w:t xml:space="preserve"> </w:t>
      </w:r>
      <w:r/>
    </w:p>
    <w:p>
      <w:pPr>
        <w:pStyle w:val="831"/>
        <w:ind w:firstLine="708"/>
        <w:jc w:val="both"/>
        <w:spacing w:before="120" w:after="0" w:line="288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31"/>
        <w:ind w:firstLine="708"/>
        <w:jc w:val="both"/>
        <w:spacing w:before="120" w:after="0" w:line="288" w:lineRule="auto"/>
        <w:widowControl w:val="off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4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....…………………………………                       </w:t>
        <w:tab/>
        <w:t xml:space="preserve">       …………………………………</w:t>
      </w:r>
      <w:r/>
    </w:p>
    <w:p>
      <w:pPr>
        <w:pStyle w:val="8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Martin Šanta, DiS. </w:t>
        <w:tab/>
        <w:tab/>
        <w:tab/>
        <w:tab/>
        <w:tab/>
        <w:t xml:space="preserve">         Jitka Racková</w:t>
      </w:r>
      <w:r/>
    </w:p>
    <w:p>
      <w:pPr>
        <w:pStyle w:val="8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starosta obce                                         </w:t>
        <w:tab/>
        <w:tab/>
        <w:t xml:space="preserve">   místostarostka obce</w:t>
      </w:r>
      <w:r/>
    </w:p>
    <w:p>
      <w:pPr>
        <w:pStyle w:val="831"/>
        <w:spacing w:before="0" w:after="0" w:line="264" w:lineRule="auto"/>
        <w:widowControl w:val="off"/>
        <w:tabs>
          <w:tab w:val="clear" w:pos="720" w:leader="none"/>
          <w:tab w:val="left" w:pos="1080" w:leader="none"/>
          <w:tab w:val="left" w:pos="7020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Potvrzení o vyvěšení na úřední desce obce a elektronické úřední desce obce:</w:t>
      </w:r>
      <w:r/>
    </w:p>
    <w:p>
      <w:pPr>
        <w:pStyle w:val="8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8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dne: ………………………………….</w:t>
        <w:tab/>
        <w:tab/>
      </w:r>
      <w:r/>
    </w:p>
    <w:p>
      <w:pPr>
        <w:pStyle w:val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840"/>
      </w:pPr>
      <w:r>
        <w:rPr>
          <w:rFonts w:ascii="Arial" w:hAnsi="Arial" w:cs="Arial"/>
          <w:sz w:val="22"/>
          <w:szCs w:val="22"/>
        </w:rPr>
        <w:t xml:space="preserve">Sejmuto dne: ……………………………………</w:t>
      </w:r>
      <w:r>
        <w:rPr>
          <w:rFonts w:ascii="Calibri" w:hAnsi="Calibri" w:cs="Calibri" w:asciiTheme="minorHAnsi" w:hAnsiTheme="minorHAnsi" w:cstheme="minorHAnsi"/>
        </w:rPr>
        <w:tab/>
        <w:tab/>
      </w:r>
      <w:r/>
    </w:p>
    <w:sectPr>
      <w:footnotePr/>
      <w:endnotePr/>
      <w:type w:val="nextPage"/>
      <w:pgSz w:w="11906" w:h="16838" w:orient="portrait"/>
      <w:pgMar w:top="1417" w:right="1417" w:bottom="1417" w:left="141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Segoe UI">
    <w:panose1 w:val="020B05020402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09" w:hanging="567"/>
        <w:tabs>
          <w:tab w:val="num" w:pos="709" w:leader="none"/>
        </w:tabs>
      </w:pPr>
      <w:rPr>
        <w:rFonts w:ascii="Calibri" w:hAnsi="Calibri" w:cs="Calibri"/>
        <w:position w:val="0"/>
        <w:sz w:val="24"/>
        <w:szCs w:val="24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ind w:left="1163" w:hanging="454"/>
        <w:tabs>
          <w:tab w:val="num" w:pos="1163" w:leader="none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 w:val="false"/>
      <w:suff w:val="tab"/>
      <w:lvlText w:val="%3)"/>
      <w:lvlJc w:val="left"/>
      <w:pPr>
        <w:ind w:left="1582" w:hanging="360"/>
        <w:tabs>
          <w:tab w:val="num" w:pos="1582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42" w:hanging="360"/>
        <w:tabs>
          <w:tab w:val="num" w:pos="1942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isLgl w:val="false"/>
      <w:suff w:val="tab"/>
      <w:lvlText w:val="(%5)"/>
      <w:lvlJc w:val="left"/>
      <w:pPr>
        <w:ind w:left="2302" w:hanging="360"/>
        <w:tabs>
          <w:tab w:val="num" w:pos="2302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isLgl w:val="false"/>
      <w:suff w:val="tab"/>
      <w:lvlText w:val="(%6)"/>
      <w:lvlJc w:val="left"/>
      <w:pPr>
        <w:ind w:left="2662" w:hanging="360"/>
        <w:tabs>
          <w:tab w:val="num" w:pos="2662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3022" w:hanging="360"/>
        <w:tabs>
          <w:tab w:val="num" w:pos="3022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isLgl w:val="false"/>
      <w:suff w:val="tab"/>
      <w:lvlText w:val="%8."/>
      <w:lvlJc w:val="left"/>
      <w:pPr>
        <w:ind w:left="3382" w:hanging="360"/>
        <w:tabs>
          <w:tab w:val="num" w:pos="3382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isLgl w:val="false"/>
      <w:suff w:val="tab"/>
      <w:lvlText w:val="%9."/>
      <w:lvlJc w:val="left"/>
      <w:pPr>
        <w:ind w:left="3742" w:hanging="360"/>
        <w:tabs>
          <w:tab w:val="num" w:pos="3742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  <w:tabs>
          <w:tab w:val="num" w:pos="567" w:leader="none"/>
        </w:tabs>
      </w:pPr>
      <w:rPr>
        <w:rFonts w:ascii="Calibri" w:hAnsi="Calibri" w:cs="Calibri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ind w:left="2007" w:hanging="360"/>
        <w:tabs>
          <w:tab w:val="num" w:pos="2007" w:leader="none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num" w:pos="2727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num" w:pos="3447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num" w:pos="4167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num" w:pos="4887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num" w:pos="5607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num" w:pos="6327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num" w:pos="7047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  <w:tabs>
          <w:tab w:val="num" w:pos="567" w:leader="none"/>
        </w:tabs>
      </w:pPr>
      <w:rPr>
        <w:rFonts w:ascii="Calibri" w:hAnsi="Calibri" w:cs="Calibri"/>
        <w:position w:val="0"/>
        <w:sz w:val="24"/>
        <w:szCs w:val="24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ind w:left="1021" w:hanging="454"/>
        <w:tabs>
          <w:tab w:val="num" w:pos="1021" w:leader="none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 w:val="false"/>
      <w:suff w:val="tab"/>
      <w:lvlText w:val="%3)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isLgl w:val="false"/>
      <w:suff w:val="tab"/>
      <w:lvlText w:val="(%5)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isLgl w:val="false"/>
      <w:suff w:val="tab"/>
      <w:lvlText w:val="(%6)"/>
      <w:lvlJc w:val="left"/>
      <w:pPr>
        <w:ind w:left="2520" w:hanging="360"/>
        <w:tabs>
          <w:tab w:val="num" w:pos="2520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  <w:tabs>
          <w:tab w:val="num" w:pos="567" w:leader="none"/>
        </w:tabs>
      </w:pPr>
      <w:rPr>
        <w:rFonts w:ascii="Calibri" w:hAnsi="Calibri" w:cs="Calibri"/>
        <w:position w:val="0"/>
        <w:sz w:val="24"/>
        <w:szCs w:val="24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ind w:left="1021" w:hanging="454"/>
        <w:tabs>
          <w:tab w:val="num" w:pos="1021" w:leader="none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 w:val="false"/>
      <w:suff w:val="tab"/>
      <w:lvlText w:val="%3)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isLgl w:val="false"/>
      <w:suff w:val="tab"/>
      <w:lvlText w:val="(%5)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isLgl w:val="false"/>
      <w:suff w:val="tab"/>
      <w:lvlText w:val="(%6)"/>
      <w:lvlJc w:val="left"/>
      <w:pPr>
        <w:ind w:left="2520" w:hanging="360"/>
        <w:tabs>
          <w:tab w:val="num" w:pos="2520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  <w:tabs>
          <w:tab w:val="num" w:pos="567" w:leader="none"/>
        </w:tabs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isLgl w:val="false"/>
      <w:suff w:val="tab"/>
      <w:lvlText w:val="%2)"/>
      <w:lvlJc w:val="left"/>
      <w:pPr>
        <w:ind w:left="1021" w:hanging="454"/>
        <w:tabs>
          <w:tab w:val="num" w:pos="1021" w:leader="none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 w:val="false"/>
      <w:suff w:val="tab"/>
      <w:lvlText w:val="%3)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isLgl w:val="false"/>
      <w:suff w:val="tab"/>
      <w:lvlText w:val="(%5)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isLgl w:val="false"/>
      <w:suff w:val="tab"/>
      <w:lvlText w:val="(%6)"/>
      <w:lvlJc w:val="left"/>
      <w:pPr>
        <w:ind w:left="2520" w:hanging="360"/>
        <w:tabs>
          <w:tab w:val="num" w:pos="2520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  <w:tabs>
          <w:tab w:val="num" w:pos="567" w:leader="none"/>
        </w:tabs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isLgl w:val="false"/>
      <w:suff w:val="tab"/>
      <w:lvlText w:val="%2)"/>
      <w:lvlJc w:val="left"/>
      <w:pPr>
        <w:ind w:left="1021" w:hanging="454"/>
        <w:tabs>
          <w:tab w:val="num" w:pos="1021" w:leader="none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 w:val="false"/>
      <w:suff w:val="tab"/>
      <w:lvlText w:val="%3)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isLgl w:val="false"/>
      <w:suff w:val="tab"/>
      <w:lvlText w:val="(%5)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isLgl w:val="false"/>
      <w:suff w:val="tab"/>
      <w:lvlText w:val="(%6)"/>
      <w:lvlJc w:val="left"/>
      <w:pPr>
        <w:ind w:left="2520" w:hanging="360"/>
        <w:tabs>
          <w:tab w:val="num" w:pos="2520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  <w:tabs>
          <w:tab w:val="num" w:pos="567" w:leader="none"/>
        </w:tabs>
      </w:pPr>
      <w:rPr>
        <w:rFonts w:ascii="Calibri" w:hAnsi="Calibri" w:cs="Calibri"/>
        <w:position w:val="0"/>
        <w:sz w:val="24"/>
        <w:szCs w:val="24"/>
        <w:vertAlign w:val="baseline"/>
      </w:rPr>
    </w:lvl>
    <w:lvl w:ilvl="1">
      <w:start w:val="1"/>
      <w:numFmt w:val="lowerLetter"/>
      <w:isLgl w:val="false"/>
      <w:suff w:val="tab"/>
      <w:lvlText w:val="%2)"/>
      <w:lvlJc w:val="left"/>
      <w:pPr>
        <w:ind w:left="1021" w:hanging="454"/>
        <w:tabs>
          <w:tab w:val="num" w:pos="1021" w:leader="none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 w:val="false"/>
      <w:suff w:val="tab"/>
      <w:lvlText w:val="%3)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isLgl w:val="false"/>
      <w:suff w:val="tab"/>
      <w:lvlText w:val="(%5)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isLgl w:val="false"/>
      <w:suff w:val="tab"/>
      <w:lvlText w:val="(%6)"/>
      <w:lvlJc w:val="left"/>
      <w:pPr>
        <w:ind w:left="2520" w:hanging="360"/>
        <w:tabs>
          <w:tab w:val="num" w:pos="2520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567" w:hanging="567"/>
        <w:tabs>
          <w:tab w:val="num" w:pos="567" w:leader="none"/>
        </w:tabs>
      </w:pPr>
      <w:rPr>
        <w:rFonts w:ascii="Calibri" w:hAnsi="Calibri" w:cs="Calibri"/>
        <w:i w:val="0"/>
        <w:iCs w:val="0"/>
        <w:color w:val="auto"/>
        <w:sz w:val="24"/>
        <w:szCs w:val="24"/>
      </w:rPr>
    </w:lvl>
    <w:lvl w:ilvl="1">
      <w:start w:val="1"/>
      <w:numFmt w:val="lowerLetter"/>
      <w:isLgl w:val="false"/>
      <w:suff w:val="tab"/>
      <w:lvlText w:val="%2)"/>
      <w:lvlJc w:val="left"/>
      <w:pPr>
        <w:ind w:left="1021" w:hanging="454"/>
        <w:tabs>
          <w:tab w:val="num" w:pos="1021" w:leader="none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 w:val="false"/>
      <w:suff w:val="tab"/>
      <w:lvlText w:val="%3)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isLgl w:val="false"/>
      <w:suff w:val="tab"/>
      <w:lvlText w:val="(%5)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isLgl w:val="false"/>
      <w:suff w:val="tab"/>
      <w:lvlText w:val="(%6)"/>
      <w:lvlJc w:val="left"/>
      <w:pPr>
        <w:ind w:left="2520" w:hanging="360"/>
        <w:tabs>
          <w:tab w:val="num" w:pos="2520" w:leader="none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8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1"/>
    <w:next w:val="831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2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1"/>
    <w:next w:val="831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2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2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2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2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2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2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2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1"/>
    <w:next w:val="831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2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character" w:styleId="686">
    <w:name w:val="Caption Char"/>
    <w:basedOn w:val="837"/>
    <w:link w:val="684"/>
    <w:uiPriority w:val="99"/>
  </w:style>
  <w:style w:type="table" w:styleId="687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7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1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4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8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1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5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cs="Arial" w:asciiTheme="minorHAnsi" w:hAnsiTheme="minorHAnsi" w:eastAsiaTheme="minorEastAsia" w:cstheme="minorBidi"/>
      <w:color w:val="auto"/>
      <w:sz w:val="22"/>
      <w:szCs w:val="22"/>
      <w:lang w:val="cs-CZ" w:eastAsia="cs-CZ" w:bidi="ar-SA"/>
    </w:rPr>
  </w:style>
  <w:style w:type="character" w:styleId="832" w:default="1">
    <w:name w:val="Default Paragraph Font"/>
    <w:uiPriority w:val="1"/>
    <w:semiHidden/>
    <w:unhideWhenUsed/>
    <w:qFormat/>
  </w:style>
  <w:style w:type="character" w:styleId="833" w:customStyle="1">
    <w:name w:val="Text bubliny Char"/>
    <w:basedOn w:val="832"/>
    <w:link w:val="841"/>
    <w:uiPriority w:val="99"/>
    <w:semiHidden/>
    <w:qFormat/>
    <w:rPr>
      <w:rFonts w:ascii="Segoe UI" w:hAnsi="Segoe UI" w:cs="Segoe UI"/>
      <w:sz w:val="18"/>
      <w:szCs w:val="18"/>
    </w:rPr>
  </w:style>
  <w:style w:type="paragraph" w:styleId="834">
    <w:name w:val="Nadpis"/>
    <w:basedOn w:val="831"/>
    <w:next w:val="83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35">
    <w:name w:val="Body Text"/>
    <w:basedOn w:val="831"/>
    <w:pPr>
      <w:spacing w:before="0" w:after="140" w:line="276" w:lineRule="auto"/>
    </w:pPr>
  </w:style>
  <w:style w:type="paragraph" w:styleId="836">
    <w:name w:val="List"/>
    <w:basedOn w:val="835"/>
    <w:rPr>
      <w:rFonts w:cs="Arial"/>
    </w:rPr>
  </w:style>
  <w:style w:type="paragraph" w:styleId="837">
    <w:name w:val="Caption"/>
    <w:basedOn w:val="83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38">
    <w:name w:val="Rejstřík"/>
    <w:basedOn w:val="831"/>
    <w:qFormat/>
    <w:pPr>
      <w:suppressLineNumbers/>
    </w:pPr>
    <w:rPr>
      <w:rFonts w:cs="Arial"/>
    </w:rPr>
  </w:style>
  <w:style w:type="paragraph" w:styleId="839">
    <w:name w:val="List Paragraph"/>
    <w:basedOn w:val="831"/>
    <w:uiPriority w:val="34"/>
    <w:qFormat/>
    <w:pPr>
      <w:contextualSpacing/>
      <w:ind w:left="720" w:firstLine="0"/>
      <w:spacing w:before="0" w:after="160"/>
    </w:pPr>
  </w:style>
  <w:style w:type="paragraph" w:styleId="840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cs-CZ" w:eastAsia="cs-CZ" w:bidi="ar-SA"/>
    </w:rPr>
  </w:style>
  <w:style w:type="paragraph" w:styleId="841">
    <w:name w:val="Balloon Text"/>
    <w:basedOn w:val="831"/>
    <w:link w:val="833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numbering" w:styleId="842" w:default="1">
    <w:name w:val="No List"/>
    <w:uiPriority w:val="99"/>
    <w:semiHidden/>
    <w:unhideWhenUsed/>
    <w:qFormat/>
  </w:style>
  <w:style w:type="table" w:styleId="84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dc:description/>
  <dc:language>cs-CZ</dc:language>
  <cp:revision>11</cp:revision>
  <dcterms:created xsi:type="dcterms:W3CDTF">2022-12-27T15:41:00Z</dcterms:created>
  <dcterms:modified xsi:type="dcterms:W3CDTF">2024-03-11T16:40:17Z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