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F3" w:rsidRDefault="009B6EF3" w:rsidP="004552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9B6EF3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>OBEC VELHARTICE</w:t>
      </w:r>
    </w:p>
    <w:p w:rsidR="009B6EF3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Rada obce Velhartice </w:t>
      </w:r>
    </w:p>
    <w:p w:rsidR="004D3D25" w:rsidRDefault="004D3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4D3D25" w:rsidRDefault="004D3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9B6EF3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 Narrow" w:eastAsia="Arial Narrow" w:hAnsi="Arial Narrow" w:cs="Arial Narrow"/>
          <w:b/>
          <w:sz w:val="6"/>
          <w:szCs w:val="6"/>
        </w:rPr>
      </w:pPr>
    </w:p>
    <w:p w:rsidR="009B6EF3" w:rsidRPr="004552F0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b/>
          <w:color w:val="000000"/>
        </w:rPr>
      </w:pPr>
      <w:r w:rsidRPr="004552F0">
        <w:rPr>
          <w:rFonts w:ascii="Arial Narrow" w:eastAsia="Arial Narrow" w:hAnsi="Arial Narrow" w:cs="Arial Narrow"/>
          <w:b/>
          <w:color w:val="000000"/>
        </w:rPr>
        <w:t xml:space="preserve">Nařízení </w:t>
      </w:r>
      <w:r w:rsidRPr="004552F0">
        <w:rPr>
          <w:rFonts w:ascii="Arial Narrow" w:eastAsia="Arial Narrow" w:hAnsi="Arial Narrow" w:cs="Arial Narrow"/>
          <w:b/>
        </w:rPr>
        <w:t>obce Velhartice, k</w:t>
      </w:r>
      <w:r w:rsidRPr="004552F0">
        <w:rPr>
          <w:rFonts w:ascii="Arial Narrow" w:eastAsia="Arial Narrow" w:hAnsi="Arial Narrow" w:cs="Arial Narrow"/>
          <w:b/>
          <w:color w:val="000000"/>
        </w:rPr>
        <w:t>terým se vymezují oblasti obce, ve kterých lze místní komunikace nebo jejich určené úseky užít ke stání vozidla jen za sjednanou cenu</w:t>
      </w:r>
      <w:r w:rsidR="00502DA8" w:rsidRPr="004552F0">
        <w:rPr>
          <w:rFonts w:ascii="Arial Narrow" w:eastAsia="Arial Narrow" w:hAnsi="Arial Narrow" w:cs="Arial Narrow"/>
          <w:b/>
          <w:color w:val="000000"/>
        </w:rPr>
        <w:t xml:space="preserve"> v</w:t>
      </w:r>
      <w:r w:rsidR="00272E70" w:rsidRPr="004552F0">
        <w:rPr>
          <w:rFonts w:ascii="Arial Narrow" w:eastAsia="Arial Narrow" w:hAnsi="Arial Narrow" w:cs="Arial Narrow"/>
          <w:b/>
          <w:color w:val="000000"/>
        </w:rPr>
        <w:t> souladu s cenovými předpisy</w:t>
      </w:r>
      <w:r w:rsidRPr="004552F0">
        <w:rPr>
          <w:rFonts w:ascii="Arial Narrow" w:eastAsia="Arial Narrow" w:hAnsi="Arial Narrow" w:cs="Arial Narrow"/>
          <w:b/>
          <w:color w:val="000000"/>
        </w:rPr>
        <w:t>.</w:t>
      </w:r>
    </w:p>
    <w:p w:rsidR="004D3D25" w:rsidRPr="004552F0" w:rsidRDefault="004D3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:rsidR="009B6EF3" w:rsidRPr="004552F0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:rsidR="009B6EF3" w:rsidRPr="004552F0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</w:rPr>
        <w:t xml:space="preserve">Rada </w:t>
      </w:r>
      <w:r w:rsidRPr="004552F0">
        <w:rPr>
          <w:rFonts w:ascii="Arial Narrow" w:eastAsia="Arial Narrow" w:hAnsi="Arial Narrow" w:cs="Arial Narrow"/>
          <w:color w:val="000000"/>
        </w:rPr>
        <w:t xml:space="preserve">obce Velhartice se na svém zasedání dne </w:t>
      </w:r>
      <w:proofErr w:type="gramStart"/>
      <w:r w:rsidR="002507B6">
        <w:rPr>
          <w:rFonts w:ascii="Arial Narrow" w:eastAsia="Arial Narrow" w:hAnsi="Arial Narrow" w:cs="Arial Narrow"/>
          <w:color w:val="000000"/>
        </w:rPr>
        <w:t>5.6.2023</w:t>
      </w:r>
      <w:proofErr w:type="gramEnd"/>
      <w:r w:rsidRPr="002507B6">
        <w:rPr>
          <w:rFonts w:ascii="Arial Narrow" w:eastAsia="Arial Narrow" w:hAnsi="Arial Narrow" w:cs="Arial Narrow"/>
          <w:color w:val="000000"/>
        </w:rPr>
        <w:t xml:space="preserve"> </w:t>
      </w:r>
      <w:r w:rsidRPr="004552F0">
        <w:rPr>
          <w:rFonts w:ascii="Arial Narrow" w:eastAsia="Arial Narrow" w:hAnsi="Arial Narrow" w:cs="Arial Narrow"/>
          <w:color w:val="000000"/>
        </w:rPr>
        <w:t xml:space="preserve">usnesením č. </w:t>
      </w:r>
      <w:r w:rsidR="002507B6">
        <w:rPr>
          <w:rFonts w:ascii="Arial Narrow" w:eastAsia="Arial Narrow" w:hAnsi="Arial Narrow" w:cs="Arial Narrow"/>
          <w:color w:val="000000"/>
        </w:rPr>
        <w:t>170</w:t>
      </w:r>
      <w:r w:rsidRPr="002507B6">
        <w:rPr>
          <w:rFonts w:ascii="Arial Narrow" w:eastAsia="Arial Narrow" w:hAnsi="Arial Narrow" w:cs="Arial Narrow"/>
          <w:color w:val="000000"/>
        </w:rPr>
        <w:t xml:space="preserve"> u</w:t>
      </w:r>
      <w:r w:rsidRPr="004552F0">
        <w:rPr>
          <w:rFonts w:ascii="Arial Narrow" w:eastAsia="Arial Narrow" w:hAnsi="Arial Narrow" w:cs="Arial Narrow"/>
          <w:color w:val="000000"/>
        </w:rPr>
        <w:t>snesl</w:t>
      </w:r>
      <w:r w:rsidRPr="004552F0">
        <w:rPr>
          <w:rFonts w:ascii="Arial Narrow" w:eastAsia="Arial Narrow" w:hAnsi="Arial Narrow" w:cs="Arial Narrow"/>
        </w:rPr>
        <w:t>a</w:t>
      </w:r>
      <w:r w:rsidRPr="004552F0">
        <w:rPr>
          <w:rFonts w:ascii="Arial Narrow" w:eastAsia="Arial Narrow" w:hAnsi="Arial Narrow" w:cs="Arial Narrow"/>
          <w:color w:val="000000"/>
        </w:rPr>
        <w:t xml:space="preserve"> vydat na základě § 23 odst. 1</w:t>
      </w:r>
      <w:r w:rsidR="006F1555" w:rsidRPr="004552F0">
        <w:rPr>
          <w:rFonts w:ascii="Arial Narrow" w:eastAsia="Arial Narrow" w:hAnsi="Arial Narrow" w:cs="Arial Narrow"/>
          <w:color w:val="000000"/>
        </w:rPr>
        <w:t xml:space="preserve"> písm. a) a c)</w:t>
      </w:r>
      <w:r w:rsidRPr="004552F0">
        <w:rPr>
          <w:rFonts w:ascii="Arial Narrow" w:eastAsia="Arial Narrow" w:hAnsi="Arial Narrow" w:cs="Arial Narrow"/>
          <w:color w:val="000000"/>
        </w:rPr>
        <w:t xml:space="preserve"> zákona č. 13/1997 Sb. o pozemních komunikacích, ve znění pozdějších předpisů, a</w:t>
      </w:r>
      <w:r w:rsidRPr="004552F0">
        <w:rPr>
          <w:rFonts w:ascii="Arial Narrow" w:eastAsia="Arial Narrow" w:hAnsi="Arial Narrow" w:cs="Arial Narrow"/>
        </w:rPr>
        <w:t xml:space="preserve"> v souladu s § 11 a § 102 odst. 2 písm. d) zákona č. 128/2000 Sb., o obcích (obecní zřízení)</w:t>
      </w:r>
      <w:r w:rsidRPr="004552F0">
        <w:rPr>
          <w:rFonts w:ascii="Arial Narrow" w:eastAsia="Arial Narrow" w:hAnsi="Arial Narrow" w:cs="Arial Narrow"/>
          <w:color w:val="000000"/>
        </w:rPr>
        <w:t xml:space="preserve">, ve znění pozdějších předpisů toto nařízení: </w:t>
      </w:r>
    </w:p>
    <w:p w:rsidR="009B6EF3" w:rsidRPr="004552F0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9B6EF3" w:rsidRPr="004552F0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  <w:b/>
          <w:color w:val="000000"/>
        </w:rPr>
        <w:t xml:space="preserve">Článek 1 </w:t>
      </w:r>
    </w:p>
    <w:p w:rsidR="009B6EF3" w:rsidRPr="004552F0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  <w:b/>
          <w:color w:val="000000"/>
        </w:rPr>
        <w:t xml:space="preserve">Vymezení oblastí obce </w:t>
      </w:r>
    </w:p>
    <w:p w:rsidR="009B6EF3" w:rsidRPr="004552F0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:rsidR="009B6EF3" w:rsidRPr="004552F0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</w:rPr>
        <w:t xml:space="preserve">(1) </w:t>
      </w:r>
      <w:r w:rsidRPr="004552F0">
        <w:rPr>
          <w:rFonts w:ascii="Arial Narrow" w:eastAsia="Arial Narrow" w:hAnsi="Arial Narrow" w:cs="Arial Narrow"/>
          <w:color w:val="000000"/>
        </w:rPr>
        <w:t xml:space="preserve">Pro účely organizování dopravy a regulace statické dopravy </w:t>
      </w:r>
      <w:r w:rsidRPr="004552F0">
        <w:rPr>
          <w:rFonts w:ascii="Arial Narrow" w:eastAsia="Arial Narrow" w:hAnsi="Arial Narrow" w:cs="Arial Narrow"/>
        </w:rPr>
        <w:t>na území obce Velhartice</w:t>
      </w:r>
      <w:r w:rsidRPr="004552F0">
        <w:rPr>
          <w:rFonts w:ascii="Arial Narrow" w:eastAsia="Arial Narrow" w:hAnsi="Arial Narrow" w:cs="Arial Narrow"/>
          <w:color w:val="000000"/>
        </w:rPr>
        <w:t xml:space="preserve"> s ohledem na zajištění maximálního využití parkovacích kapacit se tímto nařízením</w:t>
      </w:r>
      <w:r w:rsidR="006F1555" w:rsidRPr="004552F0">
        <w:rPr>
          <w:rFonts w:ascii="Arial Narrow" w:eastAsia="Arial Narrow" w:hAnsi="Arial Narrow" w:cs="Arial Narrow"/>
          <w:color w:val="000000"/>
        </w:rPr>
        <w:t xml:space="preserve"> </w:t>
      </w:r>
      <w:r w:rsidR="00966931" w:rsidRPr="004552F0">
        <w:rPr>
          <w:rFonts w:ascii="Arial Narrow" w:eastAsia="Arial Narrow" w:hAnsi="Arial Narrow" w:cs="Arial Narrow"/>
          <w:color w:val="000000"/>
        </w:rPr>
        <w:t>vymezují</w:t>
      </w:r>
      <w:r w:rsidR="006F1555" w:rsidRPr="004552F0">
        <w:rPr>
          <w:rFonts w:ascii="Arial Narrow" w:eastAsia="Arial Narrow" w:hAnsi="Arial Narrow" w:cs="Arial Narrow"/>
          <w:color w:val="000000"/>
        </w:rPr>
        <w:t xml:space="preserve"> oblasti, ve kterých lze místní komunikace nebo jejich úseky užít za cenu sjednanou v souladu</w:t>
      </w:r>
      <w:r w:rsidRPr="004552F0">
        <w:rPr>
          <w:rFonts w:ascii="Arial Narrow" w:eastAsia="Arial Narrow" w:hAnsi="Arial Narrow" w:cs="Arial Narrow"/>
          <w:color w:val="000000"/>
        </w:rPr>
        <w:t xml:space="preserve"> s cenovými předpisy</w:t>
      </w:r>
      <w:r w:rsidRPr="00F01BF4">
        <w:rPr>
          <w:rStyle w:val="Znakapoznpodarou"/>
        </w:rPr>
        <w:t>1</w:t>
      </w:r>
      <w:r w:rsidR="00966931" w:rsidRPr="00F01BF4">
        <w:rPr>
          <w:rStyle w:val="Znakapoznpodarou"/>
        </w:rPr>
        <w:t xml:space="preserve"> </w:t>
      </w:r>
      <w:r w:rsidR="00966931" w:rsidRPr="004552F0">
        <w:rPr>
          <w:rFonts w:ascii="Arial Narrow" w:eastAsia="Arial Narrow" w:hAnsi="Arial Narrow" w:cs="Arial Narrow"/>
        </w:rPr>
        <w:t>k stání silničního motorového vozidla na dobu časově omezenou, nejvýše však na dobu 24 hodin, a k stání silničního motorového vozidla provozovaného právnickou nebo fyzickou osobou za účelem podnikání podle zvláštního právního předpisu</w:t>
      </w:r>
      <w:r w:rsidR="00F01BF4">
        <w:rPr>
          <w:rStyle w:val="Znakapoznpodarou"/>
        </w:rPr>
        <w:t>2</w:t>
      </w:r>
      <w:r w:rsidR="00966931" w:rsidRPr="004552F0">
        <w:rPr>
          <w:rFonts w:ascii="Arial Narrow" w:eastAsia="Arial Narrow" w:hAnsi="Arial Narrow" w:cs="Arial Narrow"/>
        </w:rPr>
        <w:t>, která má sídlo nebo provozovnu ve vymezené oblastí obce, nebo k stání silničního motorového vozidla fyzické osoby, která má místo trvalého pobytu nebo je vlastníkem nemovitosti ve vymezené oblasti obce.</w:t>
      </w:r>
      <w:r w:rsidRPr="004552F0">
        <w:rPr>
          <w:rFonts w:ascii="Arial Narrow" w:eastAsia="Arial Narrow" w:hAnsi="Arial Narrow" w:cs="Arial Narrow"/>
        </w:rPr>
        <w:t xml:space="preserve"> Ceník tvoří přílohu č. 1 tohoto nařízení.</w:t>
      </w:r>
    </w:p>
    <w:p w:rsidR="009B6EF3" w:rsidRPr="004552F0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</w:p>
    <w:p w:rsidR="004E6C98" w:rsidRPr="004552F0" w:rsidRDefault="00745DF1" w:rsidP="004E6C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</w:rPr>
        <w:t>(2) Vymezenou</w:t>
      </w:r>
      <w:r w:rsidR="004E6C98" w:rsidRPr="004552F0">
        <w:rPr>
          <w:rFonts w:ascii="Arial Narrow" w:eastAsia="Arial Narrow" w:hAnsi="Arial Narrow" w:cs="Arial Narrow"/>
        </w:rPr>
        <w:t xml:space="preserve"> komunikací, kterou lze užít způsobem uvedeným v předchozím odstavci</w:t>
      </w:r>
      <w:r w:rsidRPr="004552F0">
        <w:rPr>
          <w:rFonts w:ascii="Arial Narrow" w:eastAsia="Arial Narrow" w:hAnsi="Arial Narrow" w:cs="Arial Narrow"/>
        </w:rPr>
        <w:t xml:space="preserve"> je</w:t>
      </w:r>
      <w:r w:rsidRPr="004552F0">
        <w:rPr>
          <w:rFonts w:ascii="Arial Narrow" w:eastAsia="Arial Narrow" w:hAnsi="Arial Narrow" w:cs="Arial Narrow"/>
          <w:color w:val="000000"/>
        </w:rPr>
        <w:t xml:space="preserve">: </w:t>
      </w:r>
      <w:r w:rsidR="004E6C98" w:rsidRPr="004552F0">
        <w:rPr>
          <w:rFonts w:ascii="Arial Narrow" w:eastAsia="Arial Narrow" w:hAnsi="Arial Narrow" w:cs="Arial Narrow"/>
          <w:color w:val="000000"/>
        </w:rPr>
        <w:t>n</w:t>
      </w:r>
      <w:r w:rsidRPr="004552F0">
        <w:rPr>
          <w:rFonts w:ascii="Arial Narrow" w:eastAsia="Arial Narrow" w:hAnsi="Arial Narrow" w:cs="Arial Narrow"/>
          <w:color w:val="000000"/>
        </w:rPr>
        <w:t>áměstí Velhartice – parcelní číslo 923/5, k</w:t>
      </w:r>
      <w:r w:rsidRPr="004552F0">
        <w:rPr>
          <w:rFonts w:ascii="Arial Narrow" w:eastAsia="Arial Narrow" w:hAnsi="Arial Narrow" w:cs="Arial Narrow"/>
        </w:rPr>
        <w:t xml:space="preserve">atastrální území </w:t>
      </w:r>
      <w:r w:rsidRPr="004552F0">
        <w:rPr>
          <w:rFonts w:ascii="Arial Narrow" w:eastAsia="Arial Narrow" w:hAnsi="Arial Narrow" w:cs="Arial Narrow"/>
          <w:color w:val="000000"/>
        </w:rPr>
        <w:t xml:space="preserve">Velhartice </w:t>
      </w:r>
      <w:r w:rsidRPr="004552F0">
        <w:rPr>
          <w:rFonts w:ascii="Arial Narrow" w:eastAsia="Arial Narrow" w:hAnsi="Arial Narrow" w:cs="Arial Narrow"/>
        </w:rPr>
        <w:t>(</w:t>
      </w:r>
      <w:r w:rsidRPr="004552F0">
        <w:rPr>
          <w:rFonts w:ascii="Arial Narrow" w:eastAsia="Arial Narrow" w:hAnsi="Arial Narrow" w:cs="Arial Narrow"/>
          <w:color w:val="000000"/>
        </w:rPr>
        <w:t>777935</w:t>
      </w:r>
      <w:r w:rsidRPr="004552F0">
        <w:rPr>
          <w:rFonts w:ascii="Arial Narrow" w:eastAsia="Arial Narrow" w:hAnsi="Arial Narrow" w:cs="Arial Narrow"/>
        </w:rPr>
        <w:t>)</w:t>
      </w:r>
      <w:r w:rsidRPr="004552F0">
        <w:rPr>
          <w:rFonts w:ascii="Arial Narrow" w:eastAsia="Arial Narrow" w:hAnsi="Arial Narrow" w:cs="Arial Narrow"/>
          <w:color w:val="000000"/>
        </w:rPr>
        <w:t>.</w:t>
      </w:r>
      <w:r w:rsidR="004E6C98" w:rsidRPr="004552F0">
        <w:rPr>
          <w:rFonts w:ascii="Arial Narrow" w:eastAsia="Arial Narrow" w:hAnsi="Arial Narrow" w:cs="Arial Narrow"/>
          <w:color w:val="000000"/>
        </w:rPr>
        <w:t xml:space="preserve"> </w:t>
      </w:r>
      <w:r w:rsidRPr="004552F0">
        <w:rPr>
          <w:rFonts w:ascii="Arial Narrow" w:eastAsia="Arial Narrow" w:hAnsi="Arial Narrow" w:cs="Arial Narrow"/>
          <w:color w:val="000000"/>
        </w:rPr>
        <w:t>Grafické vymezen</w:t>
      </w:r>
      <w:r w:rsidRPr="004552F0">
        <w:rPr>
          <w:rFonts w:ascii="Arial Narrow" w:eastAsia="Arial Narrow" w:hAnsi="Arial Narrow" w:cs="Arial Narrow"/>
        </w:rPr>
        <w:t>í</w:t>
      </w:r>
      <w:r w:rsidR="004E6C98" w:rsidRPr="004552F0">
        <w:rPr>
          <w:rFonts w:ascii="Arial Narrow" w:eastAsia="Arial Narrow" w:hAnsi="Arial Narrow" w:cs="Arial Narrow"/>
        </w:rPr>
        <w:t xml:space="preserve"> oblasti uvedené v předchozím odstavci je uvedeno v</w:t>
      </w:r>
      <w:r w:rsidRPr="004552F0">
        <w:rPr>
          <w:rFonts w:ascii="Arial Narrow" w:eastAsia="Arial Narrow" w:hAnsi="Arial Narrow" w:cs="Arial Narrow"/>
        </w:rPr>
        <w:t xml:space="preserve"> </w:t>
      </w:r>
      <w:r w:rsidRPr="004552F0">
        <w:rPr>
          <w:rFonts w:ascii="Arial Narrow" w:eastAsia="Arial Narrow" w:hAnsi="Arial Narrow" w:cs="Arial Narrow"/>
          <w:color w:val="000000"/>
        </w:rPr>
        <w:t>přílo</w:t>
      </w:r>
      <w:r w:rsidR="004E6C98" w:rsidRPr="004552F0">
        <w:rPr>
          <w:rFonts w:ascii="Arial Narrow" w:eastAsia="Arial Narrow" w:hAnsi="Arial Narrow" w:cs="Arial Narrow"/>
          <w:color w:val="000000"/>
        </w:rPr>
        <w:t>ze</w:t>
      </w:r>
      <w:r w:rsidRPr="004552F0">
        <w:rPr>
          <w:rFonts w:ascii="Arial Narrow" w:eastAsia="Arial Narrow" w:hAnsi="Arial Narrow" w:cs="Arial Narrow"/>
          <w:color w:val="000000"/>
        </w:rPr>
        <w:t xml:space="preserve"> č. 2 to</w:t>
      </w:r>
      <w:r w:rsidRPr="004552F0">
        <w:rPr>
          <w:rFonts w:ascii="Arial Narrow" w:eastAsia="Arial Narrow" w:hAnsi="Arial Narrow" w:cs="Arial Narrow"/>
        </w:rPr>
        <w:t>hoto</w:t>
      </w:r>
      <w:r w:rsidRPr="004552F0">
        <w:rPr>
          <w:rFonts w:ascii="Arial Narrow" w:eastAsia="Arial Narrow" w:hAnsi="Arial Narrow" w:cs="Arial Narrow"/>
          <w:color w:val="000000"/>
        </w:rPr>
        <w:t xml:space="preserve"> nařízení.</w:t>
      </w:r>
      <w:r w:rsidR="004E6C98" w:rsidRPr="004552F0">
        <w:rPr>
          <w:rFonts w:ascii="Arial Narrow" w:eastAsia="Arial Narrow" w:hAnsi="Arial Narrow" w:cs="Arial Narrow"/>
          <w:color w:val="000000"/>
        </w:rPr>
        <w:t xml:space="preserve"> Takto vymezená komunikace musí být označena příslušnou dopravní značkou podle zvláštního právního předpisu</w:t>
      </w:r>
      <w:r w:rsidR="00283400">
        <w:rPr>
          <w:rFonts w:ascii="Arial Narrow" w:eastAsia="Arial Narrow" w:hAnsi="Arial Narrow" w:cs="Arial Narrow"/>
          <w:color w:val="000000"/>
        </w:rPr>
        <w:t>.</w:t>
      </w:r>
      <w:r w:rsidR="00283400">
        <w:rPr>
          <w:rStyle w:val="Znakapoznpodarou"/>
        </w:rPr>
        <w:t>3</w:t>
      </w:r>
    </w:p>
    <w:p w:rsidR="009B6EF3" w:rsidRPr="004552F0" w:rsidRDefault="009B6EF3" w:rsidP="002834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 Narrow" w:eastAsia="Arial Narrow" w:hAnsi="Arial Narrow" w:cs="Arial Narrow"/>
          <w:color w:val="000000"/>
        </w:rPr>
      </w:pPr>
    </w:p>
    <w:p w:rsidR="009B6EF3" w:rsidRPr="004552F0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  <w:b/>
          <w:color w:val="000000"/>
        </w:rPr>
        <w:t xml:space="preserve">Článek 2 </w:t>
      </w:r>
    </w:p>
    <w:p w:rsidR="009B6EF3" w:rsidRPr="004552F0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  <w:b/>
          <w:color w:val="000000"/>
        </w:rPr>
        <w:t xml:space="preserve">Placení sjednané ceny </w:t>
      </w:r>
    </w:p>
    <w:p w:rsidR="009B6EF3" w:rsidRPr="004552F0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:rsidR="009B6EF3" w:rsidRPr="004552F0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  <w:color w:val="000000"/>
        </w:rPr>
        <w:t>(1) Sjednaná cena za parkování na úsecích komunikací dle čl. 1 se platí pověřenému pracovníkovi nebo v parkovacím automatu na celou dobu stání. Zaplacení sjednané ceny se prokazuje kontrolním lístkem</w:t>
      </w:r>
      <w:r w:rsidR="004E6C98" w:rsidRPr="004552F0">
        <w:rPr>
          <w:rFonts w:ascii="Arial Narrow" w:eastAsia="Arial Narrow" w:hAnsi="Arial Narrow" w:cs="Arial Narrow"/>
          <w:color w:val="000000"/>
        </w:rPr>
        <w:t xml:space="preserve"> nebo parkovací kartou</w:t>
      </w:r>
      <w:r w:rsidRPr="004552F0">
        <w:rPr>
          <w:rFonts w:ascii="Arial Narrow" w:eastAsia="Arial Narrow" w:hAnsi="Arial Narrow" w:cs="Arial Narrow"/>
          <w:color w:val="000000"/>
        </w:rPr>
        <w:t>. Kontrolní lístek musí být po celou dobu stání vozidla viditelně umístěn za čelním sklem vozidla a při pohledu do vozidla čitelný.</w:t>
      </w:r>
    </w:p>
    <w:p w:rsidR="009B6EF3" w:rsidRPr="004552F0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9B6EF3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  <w:color w:val="000000"/>
        </w:rPr>
        <w:t xml:space="preserve">(2) </w:t>
      </w:r>
      <w:r w:rsidR="004D3D25" w:rsidRPr="004552F0">
        <w:rPr>
          <w:rFonts w:ascii="Arial Narrow" w:eastAsia="Arial Narrow" w:hAnsi="Arial Narrow" w:cs="Arial Narrow"/>
          <w:color w:val="000000"/>
        </w:rPr>
        <w:t>P</w:t>
      </w:r>
      <w:r w:rsidRPr="004552F0">
        <w:rPr>
          <w:rFonts w:ascii="Arial Narrow" w:eastAsia="Arial Narrow" w:hAnsi="Arial Narrow" w:cs="Arial Narrow"/>
          <w:color w:val="000000"/>
        </w:rPr>
        <w:t>arkovací karta v počtu 1 ks na osobu</w:t>
      </w:r>
      <w:r w:rsidR="004D3D25" w:rsidRPr="004552F0">
        <w:rPr>
          <w:rFonts w:ascii="Arial Narrow" w:eastAsia="Arial Narrow" w:hAnsi="Arial Narrow" w:cs="Arial Narrow"/>
          <w:color w:val="000000"/>
        </w:rPr>
        <w:t xml:space="preserve"> bude vydána</w:t>
      </w:r>
      <w:r w:rsidR="009B2E13">
        <w:rPr>
          <w:rFonts w:ascii="Arial Narrow" w:eastAsia="Arial Narrow" w:hAnsi="Arial Narrow" w:cs="Arial Narrow"/>
          <w:color w:val="000000"/>
        </w:rPr>
        <w:t xml:space="preserve"> k stání silničního motorového vozidla</w:t>
      </w:r>
      <w:r w:rsidR="004D3D25" w:rsidRPr="004552F0">
        <w:rPr>
          <w:rFonts w:ascii="Arial Narrow" w:eastAsia="Arial Narrow" w:hAnsi="Arial Narrow" w:cs="Arial Narrow"/>
          <w:color w:val="000000"/>
        </w:rPr>
        <w:t xml:space="preserve"> právnické nebo fyzické osobě, která</w:t>
      </w:r>
      <w:r w:rsidR="009B2E13">
        <w:rPr>
          <w:rFonts w:ascii="Arial Narrow" w:eastAsia="Arial Narrow" w:hAnsi="Arial Narrow" w:cs="Arial Narrow"/>
          <w:color w:val="000000"/>
        </w:rPr>
        <w:t xml:space="preserve"> vozidlo</w:t>
      </w:r>
      <w:r w:rsidR="004D3D25" w:rsidRPr="004552F0">
        <w:rPr>
          <w:rFonts w:ascii="Arial Narrow" w:eastAsia="Arial Narrow" w:hAnsi="Arial Narrow" w:cs="Arial Narrow"/>
          <w:color w:val="000000"/>
        </w:rPr>
        <w:t xml:space="preserve"> provozuje </w:t>
      </w:r>
      <w:r w:rsidR="004D3D25" w:rsidRPr="004552F0">
        <w:rPr>
          <w:rFonts w:ascii="Arial Narrow" w:eastAsia="Arial Narrow" w:hAnsi="Arial Narrow" w:cs="Arial Narrow"/>
        </w:rPr>
        <w:t>za účelem podnikání podle zvláštního právního předpisu</w:t>
      </w:r>
      <w:r w:rsidR="00283400">
        <w:rPr>
          <w:rStyle w:val="Znakapoznpodarou"/>
        </w:rPr>
        <w:t>2</w:t>
      </w:r>
      <w:r w:rsidR="009B2E13">
        <w:rPr>
          <w:rFonts w:ascii="Arial Narrow" w:eastAsia="Arial Narrow" w:hAnsi="Arial Narrow" w:cs="Arial Narrow"/>
        </w:rPr>
        <w:t xml:space="preserve"> a </w:t>
      </w:r>
      <w:r w:rsidR="004D3D25" w:rsidRPr="004552F0">
        <w:rPr>
          <w:rFonts w:ascii="Arial Narrow" w:eastAsia="Arial Narrow" w:hAnsi="Arial Narrow" w:cs="Arial Narrow"/>
        </w:rPr>
        <w:t>má sídlo nebo provozovnu ve vymezené oblast</w:t>
      </w:r>
      <w:r w:rsidR="00D90B43">
        <w:rPr>
          <w:rFonts w:ascii="Arial Narrow" w:eastAsia="Arial Narrow" w:hAnsi="Arial Narrow" w:cs="Arial Narrow"/>
        </w:rPr>
        <w:t>i</w:t>
      </w:r>
      <w:r w:rsidR="004D3D25" w:rsidRPr="004552F0">
        <w:rPr>
          <w:rFonts w:ascii="Arial Narrow" w:eastAsia="Arial Narrow" w:hAnsi="Arial Narrow" w:cs="Arial Narrow"/>
        </w:rPr>
        <w:t xml:space="preserve"> obce, nebo k stání silničního motorového vozidla fyzické osob</w:t>
      </w:r>
      <w:r w:rsidR="009B2E13">
        <w:rPr>
          <w:rFonts w:ascii="Arial Narrow" w:eastAsia="Arial Narrow" w:hAnsi="Arial Narrow" w:cs="Arial Narrow"/>
        </w:rPr>
        <w:t>ě</w:t>
      </w:r>
      <w:r w:rsidR="004D3D25" w:rsidRPr="004552F0">
        <w:rPr>
          <w:rFonts w:ascii="Arial Narrow" w:eastAsia="Arial Narrow" w:hAnsi="Arial Narrow" w:cs="Arial Narrow"/>
        </w:rPr>
        <w:t>, která má místo trvalého pobytu nebo je vlastníkem nemovitosti ve vymezené oblasti obce.</w:t>
      </w:r>
      <w:r w:rsidRPr="004552F0">
        <w:rPr>
          <w:rFonts w:ascii="Arial Narrow" w:eastAsia="Arial Narrow" w:hAnsi="Arial Narrow" w:cs="Arial Narrow"/>
        </w:rPr>
        <w:t xml:space="preserve"> </w:t>
      </w:r>
      <w:r w:rsidRPr="004552F0">
        <w:rPr>
          <w:rFonts w:ascii="Arial Narrow" w:eastAsia="Arial Narrow" w:hAnsi="Arial Narrow" w:cs="Arial Narrow"/>
          <w:color w:val="000000"/>
        </w:rPr>
        <w:t>Parkovací karta musí být po celou dobu stání vozidla viditelně umístěna za čelním sklem vozidla a při pohledu do vozidla čitelná.</w:t>
      </w:r>
    </w:p>
    <w:p w:rsidR="001D2B2B" w:rsidRDefault="001D2B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283400" w:rsidRDefault="00283400">
      <w:pPr>
        <w:pBdr>
          <w:top w:val="nil"/>
          <w:left w:val="nil"/>
          <w:bottom w:val="single" w:sz="6" w:space="1" w:color="auto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283400" w:rsidRPr="001D2B2B" w:rsidRDefault="00283400" w:rsidP="00283400">
      <w:pPr>
        <w:pStyle w:val="Textpoznpodarou"/>
        <w:ind w:left="0" w:hanging="2"/>
        <w:rPr>
          <w:rStyle w:val="Znakapoznpodarou"/>
          <w:rFonts w:ascii="Arial Narrow" w:hAnsi="Arial Narrow"/>
          <w:sz w:val="18"/>
        </w:rPr>
      </w:pPr>
      <w:r w:rsidRPr="001D2B2B">
        <w:rPr>
          <w:rStyle w:val="Znakapoznpodarou"/>
          <w:rFonts w:ascii="Arial Narrow" w:hAnsi="Arial Narrow"/>
          <w:sz w:val="18"/>
        </w:rPr>
        <w:t>1</w:t>
      </w:r>
      <w:r w:rsidRPr="001D2B2B">
        <w:rPr>
          <w:rFonts w:ascii="Arial Narrow" w:hAnsi="Arial Narrow" w:cs="Arial"/>
          <w:sz w:val="18"/>
        </w:rPr>
        <w:t xml:space="preserve"> zákon č. 526/1990 Sb., o cenách, ve znění pozdějších předpisů</w:t>
      </w:r>
    </w:p>
    <w:p w:rsidR="00283400" w:rsidRPr="001D2B2B" w:rsidRDefault="00283400" w:rsidP="00283400">
      <w:pPr>
        <w:pStyle w:val="Textpoznpodarou"/>
        <w:ind w:left="0" w:hanging="2"/>
        <w:rPr>
          <w:rFonts w:ascii="Arial Narrow" w:hAnsi="Arial Narrow"/>
          <w:sz w:val="18"/>
        </w:rPr>
      </w:pPr>
      <w:r w:rsidRPr="001D2B2B">
        <w:rPr>
          <w:rStyle w:val="Znakapoznpodarou"/>
          <w:rFonts w:ascii="Arial Narrow" w:hAnsi="Arial Narrow"/>
          <w:sz w:val="18"/>
        </w:rPr>
        <w:t>2</w:t>
      </w:r>
      <w:r w:rsidRPr="001D2B2B">
        <w:rPr>
          <w:rFonts w:ascii="Arial Narrow" w:hAnsi="Arial Narrow" w:cs="Arial"/>
          <w:sz w:val="18"/>
        </w:rPr>
        <w:t xml:space="preserve"> zákon č. 455/1991 Sb., o živnostenském podnikání (živnostenský zákon), ve znění pozdějších předpisů</w:t>
      </w:r>
    </w:p>
    <w:p w:rsidR="00283400" w:rsidRPr="001D2B2B" w:rsidRDefault="00283400" w:rsidP="001D2B2B">
      <w:pPr>
        <w:pBdr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contextualSpacing/>
        <w:jc w:val="both"/>
        <w:rPr>
          <w:rFonts w:ascii="Arial Narrow" w:hAnsi="Arial Narrow" w:cs="Arial"/>
          <w:sz w:val="18"/>
          <w:szCs w:val="18"/>
        </w:rPr>
      </w:pPr>
      <w:r w:rsidRPr="001D2B2B">
        <w:rPr>
          <w:rStyle w:val="Znakapoznpodarou"/>
          <w:rFonts w:ascii="Arial Narrow" w:hAnsi="Arial Narrow"/>
          <w:sz w:val="18"/>
          <w:szCs w:val="18"/>
        </w:rPr>
        <w:t>3</w:t>
      </w:r>
      <w:r w:rsidR="001D2B2B">
        <w:rPr>
          <w:rFonts w:ascii="Arial Narrow" w:hAnsi="Arial Narrow"/>
          <w:sz w:val="18"/>
          <w:szCs w:val="18"/>
        </w:rPr>
        <w:t xml:space="preserve"> </w:t>
      </w:r>
      <w:r w:rsidR="001D2B2B" w:rsidRPr="001D2B2B">
        <w:rPr>
          <w:rFonts w:ascii="Arial Narrow" w:hAnsi="Arial Narrow" w:cs="Arial"/>
          <w:sz w:val="18"/>
          <w:szCs w:val="18"/>
        </w:rPr>
        <w:t>zákon č. 361/2000 Sb., o provozu na pozemních komunikacích a o změnách některých zákonů (zákon o silničním provozu), ve znění pozdějších předpisů, a vyhláška Ministerstva dopravy č. 294/2015 Sb., kterou se provádějí pravidla provozu na pozemních komunikacích, ve znění pozdějších předpisů</w:t>
      </w:r>
    </w:p>
    <w:p w:rsidR="00283400" w:rsidRPr="004552F0" w:rsidRDefault="00283400" w:rsidP="00283400">
      <w:pPr>
        <w:pBdr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FF6600"/>
        </w:rPr>
      </w:pPr>
    </w:p>
    <w:p w:rsidR="009B6EF3" w:rsidRPr="004552F0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FF6600"/>
        </w:rPr>
      </w:pPr>
    </w:p>
    <w:p w:rsidR="009B6EF3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  <w:color w:val="000000"/>
        </w:rPr>
        <w:t>(3) Parkovací kartu vydává Obecní úřad Velhartice, který zároveň vede evidenci vydaných parkovacích karet. Vzor parkovací karty je vyobrazen v příloze č.</w:t>
      </w:r>
      <w:r w:rsidRPr="004552F0">
        <w:rPr>
          <w:rFonts w:ascii="Arial Narrow" w:eastAsia="Arial Narrow" w:hAnsi="Arial Narrow" w:cs="Arial Narrow"/>
        </w:rPr>
        <w:t xml:space="preserve"> 3</w:t>
      </w:r>
      <w:r w:rsidRPr="004552F0">
        <w:rPr>
          <w:rFonts w:ascii="Arial Narrow" w:eastAsia="Arial Narrow" w:hAnsi="Arial Narrow" w:cs="Arial Narrow"/>
          <w:color w:val="000000"/>
        </w:rPr>
        <w:t xml:space="preserve"> </w:t>
      </w:r>
      <w:r w:rsidRPr="004552F0">
        <w:rPr>
          <w:rFonts w:ascii="Arial Narrow" w:eastAsia="Arial Narrow" w:hAnsi="Arial Narrow" w:cs="Arial Narrow"/>
        </w:rPr>
        <w:t>tohoto</w:t>
      </w:r>
      <w:r w:rsidRPr="004552F0">
        <w:rPr>
          <w:rFonts w:ascii="Arial Narrow" w:eastAsia="Arial Narrow" w:hAnsi="Arial Narrow" w:cs="Arial Narrow"/>
          <w:color w:val="000000"/>
        </w:rPr>
        <w:t xml:space="preserve"> nařízení. Počátek platnosti karty je určen dnem, který je zároveň dnem vydání karty a končí uplynutím doby platnosti. Doba platnosti je vyznačena na kartě. </w:t>
      </w:r>
    </w:p>
    <w:p w:rsidR="004552F0" w:rsidRPr="004552F0" w:rsidRDefault="004552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9B6EF3" w:rsidRPr="004552F0" w:rsidRDefault="009B6EF3" w:rsidP="00586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</w:p>
    <w:p w:rsidR="009B6EF3" w:rsidRPr="004552F0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  <w:b/>
          <w:color w:val="000000"/>
        </w:rPr>
        <w:t xml:space="preserve">Článek 3 </w:t>
      </w:r>
    </w:p>
    <w:p w:rsidR="009B6EF3" w:rsidRPr="004552F0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  <w:b/>
          <w:color w:val="000000"/>
        </w:rPr>
        <w:t xml:space="preserve">Účinnost </w:t>
      </w:r>
    </w:p>
    <w:p w:rsidR="009B6EF3" w:rsidRPr="004552F0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9B6EF3" w:rsidRPr="004552F0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  <w:color w:val="000000"/>
        </w:rPr>
        <w:t xml:space="preserve">Toto nařízení nabývá účinnosti dne </w:t>
      </w:r>
      <w:r w:rsidR="002507B6">
        <w:rPr>
          <w:rFonts w:ascii="Arial Narrow" w:eastAsia="Arial Narrow" w:hAnsi="Arial Narrow" w:cs="Arial Narrow"/>
          <w:color w:val="000000"/>
        </w:rPr>
        <w:t>01</w:t>
      </w:r>
      <w:r w:rsidRPr="002507B6">
        <w:rPr>
          <w:rFonts w:ascii="Arial Narrow" w:eastAsia="Arial Narrow" w:hAnsi="Arial Narrow" w:cs="Arial Narrow"/>
        </w:rPr>
        <w:t>.</w:t>
      </w:r>
      <w:r w:rsidR="002507B6">
        <w:rPr>
          <w:rFonts w:ascii="Arial Narrow" w:eastAsia="Arial Narrow" w:hAnsi="Arial Narrow" w:cs="Arial Narrow"/>
        </w:rPr>
        <w:t>07</w:t>
      </w:r>
      <w:bookmarkStart w:id="0" w:name="_GoBack"/>
      <w:bookmarkEnd w:id="0"/>
      <w:r w:rsidRPr="004552F0">
        <w:rPr>
          <w:rFonts w:ascii="Arial Narrow" w:eastAsia="Arial Narrow" w:hAnsi="Arial Narrow" w:cs="Arial Narrow"/>
        </w:rPr>
        <w:t>.2023.</w:t>
      </w:r>
    </w:p>
    <w:p w:rsidR="009B6EF3" w:rsidRPr="004552F0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</w:p>
    <w:p w:rsidR="009B6EF3" w:rsidRPr="004552F0" w:rsidRDefault="009B6EF3" w:rsidP="004552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</w:p>
    <w:p w:rsidR="009B6EF3" w:rsidRPr="004552F0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</w:p>
    <w:p w:rsidR="009B6EF3" w:rsidRPr="004552F0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</w:p>
    <w:p w:rsidR="009B6EF3" w:rsidRPr="004552F0" w:rsidRDefault="009B6EF3" w:rsidP="004552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</w:p>
    <w:p w:rsidR="009B6EF3" w:rsidRPr="004552F0" w:rsidRDefault="009B6EF3" w:rsidP="004552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</w:p>
    <w:p w:rsidR="009B6EF3" w:rsidRPr="004552F0" w:rsidRDefault="00745DF1" w:rsidP="00586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</w:rPr>
      </w:pPr>
      <w:r w:rsidRPr="004552F0">
        <w:rPr>
          <w:rFonts w:ascii="Arial Narrow" w:eastAsia="Arial Narrow" w:hAnsi="Arial Narrow" w:cs="Arial Narrow"/>
          <w:color w:val="000000"/>
        </w:rPr>
        <w:t xml:space="preserve">     Michal Kopačka, </w:t>
      </w:r>
      <w:proofErr w:type="gramStart"/>
      <w:r w:rsidRPr="004552F0">
        <w:rPr>
          <w:rFonts w:ascii="Arial Narrow" w:eastAsia="Arial Narrow" w:hAnsi="Arial Narrow" w:cs="Arial Narrow"/>
          <w:color w:val="000000"/>
        </w:rPr>
        <w:t>v.r.</w:t>
      </w:r>
      <w:proofErr w:type="gramEnd"/>
      <w:r w:rsidRPr="004552F0">
        <w:rPr>
          <w:rFonts w:ascii="Arial Narrow" w:eastAsia="Arial Narrow" w:hAnsi="Arial Narrow" w:cs="Arial Narrow"/>
        </w:rPr>
        <w:t xml:space="preserve"> </w:t>
      </w:r>
      <w:r w:rsidRPr="004552F0">
        <w:rPr>
          <w:rFonts w:ascii="Arial Narrow" w:eastAsia="Arial Narrow" w:hAnsi="Arial Narrow" w:cs="Arial Narrow"/>
        </w:rPr>
        <w:tab/>
      </w:r>
      <w:r w:rsidRPr="004552F0">
        <w:rPr>
          <w:rFonts w:ascii="Arial Narrow" w:eastAsia="Arial Narrow" w:hAnsi="Arial Narrow" w:cs="Arial Narrow"/>
        </w:rPr>
        <w:tab/>
      </w:r>
      <w:r w:rsidRPr="004552F0">
        <w:rPr>
          <w:rFonts w:ascii="Arial Narrow" w:eastAsia="Arial Narrow" w:hAnsi="Arial Narrow" w:cs="Arial Narrow"/>
        </w:rPr>
        <w:tab/>
      </w:r>
      <w:r w:rsidRPr="004552F0">
        <w:rPr>
          <w:rFonts w:ascii="Arial Narrow" w:eastAsia="Arial Narrow" w:hAnsi="Arial Narrow" w:cs="Arial Narrow"/>
        </w:rPr>
        <w:tab/>
        <w:t xml:space="preserve">        </w:t>
      </w:r>
      <w:r w:rsidRPr="004552F0">
        <w:rPr>
          <w:rFonts w:ascii="Arial Narrow" w:eastAsia="Arial Narrow" w:hAnsi="Arial Narrow" w:cs="Arial Narrow"/>
        </w:rPr>
        <w:tab/>
      </w:r>
      <w:r w:rsidRPr="004552F0">
        <w:rPr>
          <w:rFonts w:ascii="Arial Narrow" w:eastAsia="Arial Narrow" w:hAnsi="Arial Narrow" w:cs="Arial Narrow"/>
        </w:rPr>
        <w:tab/>
        <w:t xml:space="preserve">Ing. Václav Jarošík, </w:t>
      </w:r>
      <w:proofErr w:type="gramStart"/>
      <w:r w:rsidRPr="004552F0">
        <w:rPr>
          <w:rFonts w:ascii="Arial Narrow" w:eastAsia="Arial Narrow" w:hAnsi="Arial Narrow" w:cs="Arial Narrow"/>
        </w:rPr>
        <w:t>v.r.</w:t>
      </w:r>
      <w:proofErr w:type="gramEnd"/>
      <w:r w:rsidRPr="004552F0">
        <w:rPr>
          <w:rFonts w:ascii="Arial Narrow" w:eastAsia="Arial Narrow" w:hAnsi="Arial Narrow" w:cs="Arial Narrow"/>
        </w:rPr>
        <w:t xml:space="preserve"> </w:t>
      </w:r>
    </w:p>
    <w:p w:rsidR="009B6EF3" w:rsidRPr="004552F0" w:rsidRDefault="00745DF1" w:rsidP="00586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 w:rsidRPr="004552F0">
        <w:rPr>
          <w:rFonts w:ascii="Arial Narrow" w:eastAsia="Arial Narrow" w:hAnsi="Arial Narrow" w:cs="Arial Narrow"/>
        </w:rPr>
        <w:t>místostarosta Obce Velhartice</w:t>
      </w:r>
      <w:r w:rsidRPr="004552F0">
        <w:rPr>
          <w:rFonts w:ascii="Arial Narrow" w:eastAsia="Arial Narrow" w:hAnsi="Arial Narrow" w:cs="Arial Narrow"/>
          <w:color w:val="000000"/>
        </w:rPr>
        <w:tab/>
        <w:t xml:space="preserve">   </w:t>
      </w:r>
      <w:r w:rsidRPr="004552F0">
        <w:rPr>
          <w:rFonts w:ascii="Arial Narrow" w:eastAsia="Arial Narrow" w:hAnsi="Arial Narrow" w:cs="Arial Narrow"/>
          <w:color w:val="000000"/>
        </w:rPr>
        <w:tab/>
      </w:r>
      <w:r w:rsidRPr="004552F0">
        <w:rPr>
          <w:rFonts w:ascii="Arial Narrow" w:eastAsia="Arial Narrow" w:hAnsi="Arial Narrow" w:cs="Arial Narrow"/>
          <w:color w:val="000000"/>
        </w:rPr>
        <w:tab/>
      </w:r>
      <w:r w:rsidRPr="004552F0">
        <w:rPr>
          <w:rFonts w:ascii="Arial Narrow" w:eastAsia="Arial Narrow" w:hAnsi="Arial Narrow" w:cs="Arial Narrow"/>
          <w:color w:val="000000"/>
        </w:rPr>
        <w:tab/>
        <w:t xml:space="preserve">             </w:t>
      </w:r>
      <w:r w:rsidRPr="004552F0">
        <w:rPr>
          <w:rFonts w:ascii="Arial Narrow" w:eastAsia="Arial Narrow" w:hAnsi="Arial Narrow" w:cs="Arial Narrow"/>
        </w:rPr>
        <w:t>starosta Obce Velhartice</w:t>
      </w:r>
    </w:p>
    <w:p w:rsidR="009B6EF3" w:rsidRDefault="009B6EF3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9B6EF3" w:rsidRDefault="009B6EF3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4552F0" w:rsidRDefault="004552F0">
      <w:pPr>
        <w:ind w:left="0" w:hanging="2"/>
        <w:rPr>
          <w:rFonts w:ascii="Arial Narrow" w:eastAsia="Arial Narrow" w:hAnsi="Arial Narrow" w:cs="Arial Narrow"/>
          <w:color w:val="000000"/>
        </w:rPr>
      </w:pPr>
    </w:p>
    <w:p w:rsidR="009B6EF3" w:rsidRDefault="009B6EF3">
      <w:pPr>
        <w:ind w:left="0" w:hanging="2"/>
        <w:rPr>
          <w:rFonts w:ascii="Arial Narrow" w:eastAsia="Arial Narrow" w:hAnsi="Arial Narrow" w:cs="Arial Narrow"/>
          <w:color w:val="000000"/>
        </w:rPr>
      </w:pPr>
      <w:bookmarkStart w:id="1" w:name="_heading=h.gjdgxs" w:colFirst="0" w:colLast="0"/>
      <w:bookmarkEnd w:id="1"/>
    </w:p>
    <w:p w:rsidR="009B6EF3" w:rsidRDefault="00745DF1">
      <w:pPr>
        <w:ind w:left="0" w:hanging="2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>Příloha č. 1 – Ceník parkovného</w:t>
      </w:r>
    </w:p>
    <w:p w:rsidR="009B6EF3" w:rsidRDefault="00745DF1">
      <w:pPr>
        <w:ind w:left="0" w:hanging="2"/>
        <w:rPr>
          <w:rFonts w:ascii="Arial Narrow" w:eastAsia="Arial Narrow" w:hAnsi="Arial Narrow" w:cs="Arial Narrow"/>
          <w:color w:val="FF6600"/>
        </w:rPr>
      </w:pPr>
      <w:r>
        <w:rPr>
          <w:rFonts w:ascii="Arial Narrow" w:eastAsia="Arial Narrow" w:hAnsi="Arial Narrow" w:cs="Arial Narrow"/>
          <w:sz w:val="23"/>
          <w:szCs w:val="23"/>
        </w:rPr>
        <w:t>Příloha č. 2 - Grafické vymezení zpoplatněného území</w:t>
      </w:r>
    </w:p>
    <w:p w:rsidR="009B6EF3" w:rsidRDefault="00745DF1" w:rsidP="00586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3"/>
          <w:szCs w:val="23"/>
        </w:rPr>
      </w:pPr>
      <w:r>
        <w:rPr>
          <w:rFonts w:ascii="Arial Narrow" w:eastAsia="Arial Narrow" w:hAnsi="Arial Narrow" w:cs="Arial Narrow"/>
          <w:color w:val="000000"/>
          <w:sz w:val="23"/>
          <w:szCs w:val="23"/>
        </w:rPr>
        <w:t xml:space="preserve">Příloha č. </w:t>
      </w:r>
      <w:r>
        <w:rPr>
          <w:rFonts w:ascii="Arial Narrow" w:eastAsia="Arial Narrow" w:hAnsi="Arial Narrow" w:cs="Arial Narrow"/>
          <w:sz w:val="23"/>
          <w:szCs w:val="23"/>
        </w:rPr>
        <w:t>3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 xml:space="preserve"> - </w:t>
      </w:r>
      <w:r>
        <w:rPr>
          <w:rFonts w:ascii="Arial Narrow" w:eastAsia="Arial Narrow" w:hAnsi="Arial Narrow" w:cs="Arial Narrow"/>
          <w:sz w:val="23"/>
          <w:szCs w:val="23"/>
        </w:rPr>
        <w:t>V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zor parkovací karty</w:t>
      </w:r>
    </w:p>
    <w:p w:rsidR="004552F0" w:rsidRDefault="004552F0" w:rsidP="00586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3"/>
          <w:szCs w:val="23"/>
        </w:rPr>
      </w:pPr>
    </w:p>
    <w:p w:rsidR="004552F0" w:rsidRDefault="004552F0" w:rsidP="00586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3"/>
          <w:szCs w:val="23"/>
        </w:rPr>
      </w:pPr>
    </w:p>
    <w:p w:rsidR="004552F0" w:rsidRDefault="004552F0" w:rsidP="00586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3"/>
          <w:szCs w:val="23"/>
        </w:rPr>
      </w:pPr>
    </w:p>
    <w:p w:rsidR="009B6EF3" w:rsidRDefault="00745DF1" w:rsidP="0058600D">
      <w:pPr>
        <w:ind w:left="1" w:hanging="3"/>
        <w:rPr>
          <w:rFonts w:ascii="Arial Narrow" w:eastAsia="Arial Narrow" w:hAnsi="Arial Narrow" w:cs="Arial Narrow"/>
          <w:b/>
          <w:sz w:val="26"/>
          <w:szCs w:val="26"/>
        </w:rPr>
      </w:pPr>
      <w:r>
        <w:rPr>
          <w:rFonts w:ascii="Arial Narrow" w:eastAsia="Arial Narrow" w:hAnsi="Arial Narrow" w:cs="Arial Narrow"/>
          <w:b/>
          <w:sz w:val="26"/>
          <w:szCs w:val="26"/>
        </w:rPr>
        <w:lastRenderedPageBreak/>
        <w:t>Příloha č. 1 – Ceník parkovného</w:t>
      </w:r>
    </w:p>
    <w:p w:rsidR="009B6EF3" w:rsidRDefault="009B6EF3" w:rsidP="0058600D">
      <w:pPr>
        <w:rPr>
          <w:rFonts w:ascii="Arial Narrow" w:eastAsia="Arial Narrow" w:hAnsi="Arial Narrow" w:cs="Arial Narrow"/>
          <w:b/>
          <w:sz w:val="14"/>
          <w:szCs w:val="14"/>
        </w:rPr>
      </w:pPr>
    </w:p>
    <w:tbl>
      <w:tblPr>
        <w:tblStyle w:val="a"/>
        <w:tblW w:w="43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1545"/>
      </w:tblGrid>
      <w:tr w:rsidR="009B6EF3">
        <w:trPr>
          <w:trHeight w:val="320"/>
        </w:trPr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EF3" w:rsidRDefault="00745DF1" w:rsidP="00586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OBDOBÍ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EF3" w:rsidRDefault="00745DF1" w:rsidP="00586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CENA</w:t>
            </w:r>
          </w:p>
        </w:tc>
      </w:tr>
      <w:tr w:rsidR="009B6EF3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EF3" w:rsidRDefault="00745DF1" w:rsidP="00586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hlavní sezóna (1.4. - 3</w:t>
            </w:r>
            <w:r w:rsidR="0058600D">
              <w:rPr>
                <w:rFonts w:ascii="Arial Narrow" w:eastAsia="Arial Narrow" w:hAnsi="Arial Narrow" w:cs="Arial Narrow"/>
              </w:rPr>
              <w:t>1</w:t>
            </w:r>
            <w:r>
              <w:rPr>
                <w:rFonts w:ascii="Arial Narrow" w:eastAsia="Arial Narrow" w:hAnsi="Arial Narrow" w:cs="Arial Narrow"/>
              </w:rPr>
              <w:t>.10.)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EF3" w:rsidRDefault="00745DF1" w:rsidP="00586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50 Kč / hodinu</w:t>
            </w:r>
          </w:p>
        </w:tc>
      </w:tr>
      <w:tr w:rsidR="009B6EF3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EF3" w:rsidRDefault="00745DF1" w:rsidP="00586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vedlejší sezóna (1.11. - 31.3.)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EF3" w:rsidRDefault="00745DF1" w:rsidP="00586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 Kč / hodinu</w:t>
            </w:r>
          </w:p>
        </w:tc>
      </w:tr>
    </w:tbl>
    <w:p w:rsidR="009B6EF3" w:rsidRDefault="009B6EF3" w:rsidP="0058600D">
      <w:pPr>
        <w:ind w:left="1" w:hanging="3"/>
        <w:rPr>
          <w:rFonts w:ascii="Arial Narrow" w:eastAsia="Arial Narrow" w:hAnsi="Arial Narrow" w:cs="Arial Narrow"/>
          <w:b/>
          <w:sz w:val="26"/>
          <w:szCs w:val="26"/>
        </w:rPr>
      </w:pPr>
    </w:p>
    <w:p w:rsidR="009B6EF3" w:rsidRDefault="00745DF1">
      <w:pPr>
        <w:ind w:left="1" w:hanging="3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b/>
          <w:sz w:val="26"/>
          <w:szCs w:val="26"/>
        </w:rPr>
        <w:t>Příloha č. 2 k nařízení – Grafické vymezení zpoplatněného území</w:t>
      </w:r>
    </w:p>
    <w:p w:rsidR="009B6EF3" w:rsidRDefault="009B6EF3">
      <w:pPr>
        <w:rPr>
          <w:rFonts w:ascii="Arial Narrow" w:eastAsia="Arial Narrow" w:hAnsi="Arial Narrow" w:cs="Arial Narrow"/>
          <w:sz w:val="14"/>
          <w:szCs w:val="14"/>
        </w:rPr>
      </w:pPr>
    </w:p>
    <w:p w:rsidR="009B6EF3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>Náměstí Velhartice: parcelní číslo 923/5, katastrální území Velhartice (777935).</w:t>
      </w:r>
    </w:p>
    <w:p w:rsidR="009B6EF3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hint="eastAsia"/>
          <w:sz w:val="15"/>
          <w:szCs w:val="15"/>
        </w:rPr>
      </w:pPr>
    </w:p>
    <w:p w:rsidR="009B6EF3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eastAsia="cs-CZ" w:bidi="ar-SA"/>
        </w:rPr>
        <w:drawing>
          <wp:inline distT="114300" distB="114300" distL="114300" distR="114300">
            <wp:extent cx="4999673" cy="2951934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9673" cy="29519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6EF3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:rsidR="009B6EF3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b/>
          <w:color w:val="000000"/>
          <w:sz w:val="26"/>
          <w:szCs w:val="26"/>
        </w:rPr>
        <w:t xml:space="preserve">Příloha č. 3 k nařízení </w:t>
      </w:r>
      <w:r>
        <w:rPr>
          <w:rFonts w:ascii="Arial Narrow" w:eastAsia="Arial Narrow" w:hAnsi="Arial Narrow" w:cs="Arial Narrow"/>
          <w:b/>
          <w:sz w:val="26"/>
          <w:szCs w:val="26"/>
        </w:rPr>
        <w:t>–</w:t>
      </w:r>
      <w:r>
        <w:rPr>
          <w:rFonts w:ascii="Arial Narrow" w:eastAsia="Arial Narrow" w:hAnsi="Arial Narrow" w:cs="Arial Narrow"/>
          <w:b/>
          <w:color w:val="00000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sz w:val="26"/>
          <w:szCs w:val="26"/>
        </w:rPr>
        <w:t>Vzor parkovací karty</w:t>
      </w:r>
    </w:p>
    <w:p w:rsidR="009B6EF3" w:rsidRDefault="009B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:rsidR="009B6EF3" w:rsidRPr="0058600D" w:rsidRDefault="00745DF1" w:rsidP="00586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3"/>
          <w:szCs w:val="23"/>
        </w:rPr>
      </w:pPr>
      <w:r>
        <w:rPr>
          <w:rFonts w:ascii="Arial Narrow" w:eastAsia="Arial Narrow" w:hAnsi="Arial Narrow" w:cs="Arial Narrow"/>
          <w:color w:val="000000"/>
          <w:sz w:val="23"/>
          <w:szCs w:val="23"/>
        </w:rPr>
        <w:t xml:space="preserve">Karta má rozměry </w:t>
      </w:r>
      <w:r>
        <w:rPr>
          <w:rFonts w:ascii="Arial Narrow" w:eastAsia="Arial Narrow" w:hAnsi="Arial Narrow" w:cs="Arial Narrow"/>
          <w:sz w:val="23"/>
          <w:szCs w:val="23"/>
        </w:rPr>
        <w:t>A6 (105 × 148 mm)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 xml:space="preserve"> a je zatavena do průhledné fólie. </w:t>
      </w:r>
    </w:p>
    <w:p w:rsidR="009B6EF3" w:rsidRDefault="007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lang w:eastAsia="cs-CZ" w:bidi="ar-SA"/>
        </w:rPr>
        <w:drawing>
          <wp:inline distT="114300" distB="114300" distL="114300" distR="114300">
            <wp:extent cx="4999673" cy="3546279"/>
            <wp:effectExtent l="12700" t="12700" r="12700" b="127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9673" cy="3546279"/>
                    </a:xfrm>
                    <a:prstGeom prst="rect">
                      <a:avLst/>
                    </a:prstGeom>
                    <a:ln w="12700">
                      <a:solidFill>
                        <a:srgbClr val="434343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 w:rsidR="009B6EF3" w:rsidSect="004552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4" w:bottom="158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F1A" w:rsidRDefault="00563F1A" w:rsidP="0058600D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:rsidR="00563F1A" w:rsidRDefault="00563F1A" w:rsidP="0058600D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F4" w:rsidRDefault="00F01BF4" w:rsidP="00F01BF4">
    <w:pPr>
      <w:pStyle w:val="Zpat"/>
      <w:ind w:left="0" w:hanging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F3" w:rsidRPr="00283400" w:rsidRDefault="00745DF1">
    <w:pPr>
      <w:ind w:left="0" w:hanging="2"/>
      <w:jc w:val="right"/>
      <w:rPr>
        <w:rFonts w:ascii="Arial Narrow" w:hAnsi="Arial Narrow"/>
      </w:rPr>
    </w:pPr>
    <w:r w:rsidRPr="00283400">
      <w:rPr>
        <w:rFonts w:ascii="Arial Narrow" w:hAnsi="Arial Narrow"/>
      </w:rPr>
      <w:fldChar w:fldCharType="begin"/>
    </w:r>
    <w:r w:rsidRPr="00283400">
      <w:rPr>
        <w:rFonts w:ascii="Arial Narrow" w:hAnsi="Arial Narrow"/>
      </w:rPr>
      <w:instrText>PAGE</w:instrText>
    </w:r>
    <w:r w:rsidRPr="00283400">
      <w:rPr>
        <w:rFonts w:ascii="Arial Narrow" w:hAnsi="Arial Narrow"/>
      </w:rPr>
      <w:fldChar w:fldCharType="separate"/>
    </w:r>
    <w:r w:rsidR="002507B6">
      <w:rPr>
        <w:rFonts w:ascii="Arial Narrow" w:hAnsi="Arial Narrow"/>
        <w:noProof/>
      </w:rPr>
      <w:t>2</w:t>
    </w:r>
    <w:r w:rsidRPr="00283400">
      <w:rPr>
        <w:rFonts w:ascii="Arial Narrow" w:hAnsi="Arial Narrow"/>
      </w:rPr>
      <w:fldChar w:fldCharType="end"/>
    </w:r>
    <w:r w:rsidRPr="00283400">
      <w:rPr>
        <w:rFonts w:ascii="Arial Narrow" w:hAnsi="Arial Narrow"/>
      </w:rPr>
      <w:t>/</w:t>
    </w:r>
    <w:r w:rsidR="00283400">
      <w:rPr>
        <w:rFonts w:ascii="Arial Narrow" w:hAnsi="Arial Narrow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F3" w:rsidRDefault="009B6EF3" w:rsidP="00F01BF4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center"/>
      <w:rPr>
        <w:rFonts w:hint="eastAsia"/>
        <w:sz w:val="18"/>
        <w:szCs w:val="18"/>
      </w:rPr>
    </w:pPr>
  </w:p>
  <w:p w:rsidR="009B6EF3" w:rsidRPr="00F01BF4" w:rsidRDefault="00745DF1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 Narrow" w:hAnsi="Arial Narrow"/>
      </w:rPr>
    </w:pPr>
    <w:r w:rsidRPr="00F01BF4">
      <w:rPr>
        <w:rFonts w:ascii="Arial Narrow" w:hAnsi="Arial Narrow"/>
      </w:rPr>
      <w:fldChar w:fldCharType="begin"/>
    </w:r>
    <w:r w:rsidRPr="00F01BF4">
      <w:rPr>
        <w:rFonts w:ascii="Arial Narrow" w:hAnsi="Arial Narrow"/>
      </w:rPr>
      <w:instrText>PAGE</w:instrText>
    </w:r>
    <w:r w:rsidRPr="00F01BF4">
      <w:rPr>
        <w:rFonts w:ascii="Arial Narrow" w:hAnsi="Arial Narrow"/>
      </w:rPr>
      <w:fldChar w:fldCharType="separate"/>
    </w:r>
    <w:r w:rsidR="002507B6">
      <w:rPr>
        <w:rFonts w:ascii="Arial Narrow" w:hAnsi="Arial Narrow"/>
        <w:noProof/>
      </w:rPr>
      <w:t>1</w:t>
    </w:r>
    <w:r w:rsidRPr="00F01BF4">
      <w:rPr>
        <w:rFonts w:ascii="Arial Narrow" w:hAnsi="Arial Narrow"/>
      </w:rPr>
      <w:fldChar w:fldCharType="end"/>
    </w:r>
    <w:r w:rsidRPr="00F01BF4">
      <w:rPr>
        <w:rFonts w:ascii="Arial Narrow" w:hAnsi="Arial Narrow"/>
      </w:rPr>
      <w:t>/</w:t>
    </w:r>
    <w:r w:rsidR="00F01BF4" w:rsidRPr="00F01BF4">
      <w:rPr>
        <w:rFonts w:ascii="Arial Narrow" w:hAnsi="Arial Narrow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F1A" w:rsidRDefault="00563F1A" w:rsidP="0058600D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:rsidR="00563F1A" w:rsidRDefault="00563F1A" w:rsidP="0058600D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F4" w:rsidRDefault="00F01BF4" w:rsidP="00F01BF4">
    <w:pPr>
      <w:pStyle w:val="Zhlav"/>
      <w:ind w:left="0" w:hanging="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F3" w:rsidRDefault="009B6EF3">
    <w:pPr>
      <w:ind w:left="0" w:hanging="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F4" w:rsidRDefault="00F01BF4" w:rsidP="00F01BF4">
    <w:pPr>
      <w:pStyle w:val="Zhlav"/>
      <w:ind w:left="0" w:hanging="2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099"/>
    <w:multiLevelType w:val="multilevel"/>
    <w:tmpl w:val="3F32DE1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6EF3"/>
    <w:rsid w:val="001D2B2B"/>
    <w:rsid w:val="00216E2C"/>
    <w:rsid w:val="002507B6"/>
    <w:rsid w:val="00272E70"/>
    <w:rsid w:val="00283400"/>
    <w:rsid w:val="004552F0"/>
    <w:rsid w:val="004D3D25"/>
    <w:rsid w:val="004E6C98"/>
    <w:rsid w:val="00502DA8"/>
    <w:rsid w:val="00563F1A"/>
    <w:rsid w:val="0058600D"/>
    <w:rsid w:val="006853C5"/>
    <w:rsid w:val="006F1555"/>
    <w:rsid w:val="00745DF1"/>
    <w:rsid w:val="00966931"/>
    <w:rsid w:val="009B2E13"/>
    <w:rsid w:val="009B6EF3"/>
    <w:rsid w:val="009E0C8F"/>
    <w:rsid w:val="00D90B43"/>
    <w:rsid w:val="00F01BF4"/>
    <w:rsid w:val="00F8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eastAsia="SimSun" w:cs="Mangal"/>
      <w:kern w:val="1"/>
      <w:position w:val="-1"/>
      <w:lang w:eastAsia="zh-CN" w:bidi="hi-IN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eastAsia="SimSun" w:hAnsi="Arial" w:cs="Mangal"/>
      <w:color w:val="000000"/>
      <w:kern w:val="1"/>
      <w:position w:val="-1"/>
      <w:lang w:eastAsia="zh-CN" w:bidi="hi-IN"/>
    </w:rPr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6D4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6D4"/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6931"/>
    <w:pPr>
      <w:spacing w:line="240" w:lineRule="auto"/>
    </w:pPr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6931"/>
    <w:rPr>
      <w:rFonts w:eastAsia="SimSun" w:cs="Mangal"/>
      <w:kern w:val="1"/>
      <w:position w:val="-1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9669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01BF4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01BF4"/>
    <w:rPr>
      <w:rFonts w:eastAsia="SimSun" w:cs="Mangal"/>
      <w:kern w:val="1"/>
      <w:position w:val="-1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01BF4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01BF4"/>
    <w:rPr>
      <w:rFonts w:eastAsia="SimSun" w:cs="Mangal"/>
      <w:kern w:val="1"/>
      <w:position w:val="-1"/>
      <w:szCs w:val="21"/>
      <w:lang w:eastAsia="zh-CN" w:bidi="hi-IN"/>
    </w:rPr>
  </w:style>
  <w:style w:type="paragraph" w:styleId="Revize">
    <w:name w:val="Revision"/>
    <w:hidden/>
    <w:uiPriority w:val="99"/>
    <w:semiHidden/>
    <w:rsid w:val="00F01BF4"/>
    <w:pPr>
      <w:widowControl/>
      <w:ind w:firstLine="0"/>
    </w:pPr>
    <w:rPr>
      <w:rFonts w:eastAsia="SimSun" w:cs="Mangal"/>
      <w:kern w:val="1"/>
      <w:position w:val="-1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eastAsia="SimSun" w:cs="Mangal"/>
      <w:kern w:val="1"/>
      <w:position w:val="-1"/>
      <w:lang w:eastAsia="zh-CN" w:bidi="hi-IN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eastAsia="SimSun" w:hAnsi="Arial" w:cs="Mangal"/>
      <w:color w:val="000000"/>
      <w:kern w:val="1"/>
      <w:position w:val="-1"/>
      <w:lang w:eastAsia="zh-CN" w:bidi="hi-IN"/>
    </w:rPr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6D4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6D4"/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6931"/>
    <w:pPr>
      <w:spacing w:line="240" w:lineRule="auto"/>
    </w:pPr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6931"/>
    <w:rPr>
      <w:rFonts w:eastAsia="SimSun" w:cs="Mangal"/>
      <w:kern w:val="1"/>
      <w:position w:val="-1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9669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01BF4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01BF4"/>
    <w:rPr>
      <w:rFonts w:eastAsia="SimSun" w:cs="Mangal"/>
      <w:kern w:val="1"/>
      <w:position w:val="-1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01BF4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01BF4"/>
    <w:rPr>
      <w:rFonts w:eastAsia="SimSun" w:cs="Mangal"/>
      <w:kern w:val="1"/>
      <w:position w:val="-1"/>
      <w:szCs w:val="21"/>
      <w:lang w:eastAsia="zh-CN" w:bidi="hi-IN"/>
    </w:rPr>
  </w:style>
  <w:style w:type="paragraph" w:styleId="Revize">
    <w:name w:val="Revision"/>
    <w:hidden/>
    <w:uiPriority w:val="99"/>
    <w:semiHidden/>
    <w:rsid w:val="00F01BF4"/>
    <w:pPr>
      <w:widowControl/>
      <w:ind w:firstLine="0"/>
    </w:pPr>
    <w:rPr>
      <w:rFonts w:eastAsia="SimSun" w:cs="Mangal"/>
      <w:kern w:val="1"/>
      <w:position w:val="-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9RbxTsWem3FSW7/KmJM5odl6Aw==">AMUW2mXa/wQHg4wmmw6a7bFlqnJ6hiCoCF8x6WGlM3GwJCtaF9pJ1cl6lR0+RVisgWO+SIxiXrbAWWhrEbUJGdTyVX8PYBMKPBC3eQ0+96+6+zNcQP7Xqsrs2mHNQc6J5g35zZKHfmZV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Vanatko</dc:creator>
  <cp:lastModifiedBy>Jana Hosnedlová</cp:lastModifiedBy>
  <cp:revision>8</cp:revision>
  <cp:lastPrinted>2023-06-01T07:39:00Z</cp:lastPrinted>
  <dcterms:created xsi:type="dcterms:W3CDTF">2023-04-26T06:17:00Z</dcterms:created>
  <dcterms:modified xsi:type="dcterms:W3CDTF">2023-06-07T13:57:00Z</dcterms:modified>
</cp:coreProperties>
</file>