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Quattrocento Sans" w:cs="Quattrocento Sans" w:eastAsia="Quattrocento Sans" w:hAnsi="Quattrocento Sans"/>
          <w:b w:val="1"/>
          <w:color w:val="000000"/>
          <w:sz w:val="28"/>
          <w:szCs w:val="28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28"/>
          <w:szCs w:val="28"/>
          <w:rtl w:val="0"/>
        </w:rPr>
        <w:t xml:space="preserve">Obec Heroltice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5457825</wp:posOffset>
            </wp:positionH>
            <wp:positionV relativeFrom="paragraph">
              <wp:posOffset>-219707</wp:posOffset>
            </wp:positionV>
            <wp:extent cx="485775" cy="581025"/>
            <wp:effectExtent b="0" l="0" r="0" t="0"/>
            <wp:wrapNone/>
            <wp:docPr descr="znak" id="3" name="image1.jpg"/>
            <a:graphic>
              <a:graphicData uri="http://schemas.openxmlformats.org/drawingml/2006/picture">
                <pic:pic>
                  <pic:nvPicPr>
                    <pic:cNvPr descr="znak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81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Quattrocento Sans" w:cs="Quattrocento Sans" w:eastAsia="Quattrocento Sans" w:hAnsi="Quattrocento Sans"/>
          <w:b w:val="1"/>
          <w:color w:val="000000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rtl w:val="0"/>
        </w:rPr>
        <w:t xml:space="preserve">Heroltice 18, 666 01 Tišnov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Quattrocento Sans" w:cs="Quattrocento Sans" w:eastAsia="Quattrocento Sans" w:hAnsi="Quattrocento Sans"/>
          <w:b w:val="1"/>
          <w:color w:val="000000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000000"/>
          <w:sz w:val="18"/>
          <w:szCs w:val="18"/>
          <w:rtl w:val="0"/>
        </w:rPr>
        <w:t xml:space="preserve">---------------------------------------------------------------------------------------------------------------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obce Heroltice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obce č. 1/2022,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místním poplatku za obecní systém odpadového hospodářství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77"/>
        </w:tabs>
        <w:spacing w:line="264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977"/>
        </w:tabs>
        <w:spacing w:line="264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Zastupitelstvo obce Heroltice se na svém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zasedání dne 22. 12. 2022 usnesením č. 5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usneslo vydat na základě § 14 zákona č. 565/1990 Sb., o místních poplatcích, ve znění pozdějších předpisů (dále jen „zákon o místních poplatcích“), a v souladu s § 10 písm. d) </w:t>
        <w:br w:type="textWrapping"/>
        <w:t xml:space="preserve">a § 84 odst. 2 písm. h) zákona č. 128/2000 Sb., o obcích (obecní zřízení), ve znění pozdějších předpisů, tuto obecně závaznou vyhlášku (dále jen „tato vyhláška“): </w:t>
      </w:r>
    </w:p>
    <w:p w:rsidR="00000000" w:rsidDel="00000000" w:rsidP="00000000" w:rsidRDefault="00000000" w:rsidRPr="00000000" w14:paraId="0000000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</w:t>
      </w:r>
    </w:p>
    <w:p w:rsidR="00000000" w:rsidDel="00000000" w:rsidP="00000000" w:rsidRDefault="00000000" w:rsidRPr="00000000" w14:paraId="0000000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Úvodní ustanovení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64" w:lineRule="auto"/>
        <w:ind w:left="567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Obec Heroltice touto vyhláškou zavádí místní poplatek za obecní systém odpadového hospodářství (dále jen „poplatek“).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Správcem poplatku je obecní úřad Heroltice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2</w:t>
      </w:r>
    </w:p>
    <w:p w:rsidR="00000000" w:rsidDel="00000000" w:rsidP="00000000" w:rsidRDefault="00000000" w:rsidRPr="00000000" w14:paraId="0000000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Poplatník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Poplatníkem poplatku je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3" w:lineRule="auto"/>
        <w:ind w:firstLine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a) fyzická osoba přihlášená v obci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nebo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b) vlastník nemovité věci zahrnující byt, rodinný dům nebo stavbu pro rodinnou rekreaci, ve které není přihlášen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žádná fyzická osoba a která je umístěna na území obce.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Spoluvlastníci nemovité věci zahrnující byt, rodinný dům nebo stavbu pro rodinnou rekreaci jsou povinni plnit poplatkovou povinnost společně a nerozdílně.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ind w:left="4185" w:firstLine="63.000000000000114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3</w:t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ind w:left="3477" w:firstLine="63.000000000000114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Poplatkové období</w:t>
      </w:r>
    </w:p>
    <w:p w:rsidR="00000000" w:rsidDel="00000000" w:rsidP="00000000" w:rsidRDefault="00000000" w:rsidRPr="00000000" w14:paraId="0000001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ind w:firstLine="708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Poplatkovým obdobím poplatku je kalendářní rok.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4</w:t>
      </w:r>
    </w:p>
    <w:p w:rsidR="00000000" w:rsidDel="00000000" w:rsidP="00000000" w:rsidRDefault="00000000" w:rsidRPr="00000000" w14:paraId="0000001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Ohlašovací povinnost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color w:val="0070c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 je povinen podat správci poplatku ohlášení nejpozději do 15 dnů ode dne vzniku své poplatkové povinnosti.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before="120" w:line="312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ohlášení poplatník uvede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before="120" w:line="312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 w:type="textWrapping"/>
        <w:t xml:space="preserve">v poplatkových věcech,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before="120" w:line="312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before="120" w:line="312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ke změně údajů uvedených v ohlášení, je poplatník povinen tuto změnu oznámit do 15 dnů ode dne, kdy nastala.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Sazba poplatku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i w:val="1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Sazba poplatku činí  800,- 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v případě, že poplatková povinnost vznikla z důvodu přihlášení fyzické osoby v obci, snižuje o jednu dvanáctinu za každý kalendářní měsíc, na jehož konci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není tato fyzická osoba přihlášena v obci, nebo</w:t>
      </w:r>
    </w:p>
    <w:p w:rsidR="00000000" w:rsidDel="00000000" w:rsidP="00000000" w:rsidRDefault="00000000" w:rsidRPr="00000000" w14:paraId="00000026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je tato fyzická osoba od poplatku osvobozena.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60"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je v této nemovité věci přihlášena alespoň 1 fyzická osoba,</w:t>
      </w:r>
    </w:p>
    <w:p w:rsidR="00000000" w:rsidDel="00000000" w:rsidP="00000000" w:rsidRDefault="00000000" w:rsidRPr="00000000" w14:paraId="00000029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poplatník nevlastní tuto nemovitou věc, nebo</w:t>
      </w:r>
    </w:p>
    <w:p w:rsidR="00000000" w:rsidDel="00000000" w:rsidP="00000000" w:rsidRDefault="00000000" w:rsidRPr="00000000" w14:paraId="0000002A">
      <w:pPr>
        <w:spacing w:after="60" w:before="120" w:line="264" w:lineRule="auto"/>
        <w:ind w:left="567" w:firstLine="0"/>
        <w:jc w:val="both"/>
        <w:rPr>
          <w:rFonts w:ascii="Arial" w:cs="Arial" w:eastAsia="Arial" w:hAnsi="Arial"/>
          <w:i w:val="1"/>
          <w:color w:val="0070c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je poplatník od poplatku osvobozen</w:t>
      </w:r>
      <w:r w:rsidDel="00000000" w:rsidR="00000000" w:rsidRPr="00000000">
        <w:rPr>
          <w:rFonts w:ascii="Arial" w:cs="Arial" w:eastAsia="Arial" w:hAnsi="Arial"/>
          <w:i w:val="1"/>
          <w:color w:val="0070c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before="120" w:lineRule="auto"/>
        <w:rPr>
          <w:rFonts w:ascii="Arial" w:cs="Arial" w:eastAsia="Arial" w:hAnsi="Arial"/>
          <w:i w:val="1"/>
          <w:color w:val="0070c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6</w:t>
      </w:r>
    </w:p>
    <w:p w:rsidR="00000000" w:rsidDel="00000000" w:rsidP="00000000" w:rsidRDefault="00000000" w:rsidRPr="00000000" w14:paraId="0000002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Splatnost poplatku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je splatný jednorázově, a to nejpozději do 30.6 příslušného kalendářního roku. 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Lhůta splatnosti neskončí poplatníkovi dříve než lhůta pro podání ohlášení podle čl. 4 odst. 1 této vyhlášky. </w:t>
      </w:r>
    </w:p>
    <w:p w:rsidR="00000000" w:rsidDel="00000000" w:rsidP="00000000" w:rsidRDefault="00000000" w:rsidRPr="00000000" w14:paraId="0000003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7</w:t>
      </w:r>
    </w:p>
    <w:p w:rsidR="00000000" w:rsidDel="00000000" w:rsidP="00000000" w:rsidRDefault="00000000" w:rsidRPr="00000000" w14:paraId="0000003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Osvobození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567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Od poplatku je osvobozena osoba, které poplatková povinnost vznikla z důvodu přihlášení v obci a která je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superscript"/>
        </w:rPr>
        <w:footnoteReference w:customMarkFollows="0" w:id="11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a) poplatníkem poplatku za odkládání komunálního odpadu z nemovité věci v jiné obci a má v této jiné obci bydliště,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3" w:lineRule="auto"/>
        <w:ind w:left="567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3" w:lineRule="auto"/>
        <w:ind w:left="567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3" w:lineRule="auto"/>
        <w:ind w:left="567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d) umístěna v domově pro osoby se zdravotním postižením, domově pro seniory, domově se zvláštním režimem nebo v chráněném bydlení, nebo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e) na základě zákona omezena na osobní svobodě s výjimkou osoby vykonávající trest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domácího vězení.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f) nárok na slevu ve výši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400,- 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č mají senioři po dosažení 70 let věku a více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 poplatku se osvobozuje osoba, které poplatková povinnost vznikla z důvodu přihlášení v obci a která</w:t>
      </w:r>
    </w:p>
    <w:p w:rsidR="00000000" w:rsidDel="00000000" w:rsidP="00000000" w:rsidRDefault="00000000" w:rsidRPr="00000000" w14:paraId="0000003E">
      <w:pPr>
        <w:numPr>
          <w:ilvl w:val="1"/>
          <w:numId w:val="6"/>
        </w:numPr>
        <w:spacing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dlouhodobě nepřítomná (minimálně 10 měsíců v příslušném kalendářním roce) z důvodu zaměstnání nebo pobytu v zahraničí </w:t>
      </w:r>
    </w:p>
    <w:p w:rsidR="00000000" w:rsidDel="00000000" w:rsidP="00000000" w:rsidRDefault="00000000" w:rsidRPr="00000000" w14:paraId="0000003F">
      <w:pPr>
        <w:numPr>
          <w:ilvl w:val="1"/>
          <w:numId w:val="6"/>
        </w:numPr>
        <w:spacing w:line="264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 přihlášena na ohlašovně, tj. Heroltice č. 18 a v obci se nezdržuje</w:t>
      </w:r>
    </w:p>
    <w:p w:rsidR="00000000" w:rsidDel="00000000" w:rsidP="00000000" w:rsidRDefault="00000000" w:rsidRPr="00000000" w14:paraId="00000040">
      <w:p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(3)</w:t>
        <w:tab/>
        <w:t xml:space="preserve">V případě, že poplatník nesplní povinnost ohlásit údaj rozhodný pro osvobození ve lhůtách stanovených touto vyhláškou nebo zákonem, nárok na osvobození zaniká.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3780"/>
        </w:tabs>
        <w:spacing w:line="264" w:lineRule="auto"/>
        <w:ind w:left="567" w:firstLine="0"/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8</w:t>
      </w:r>
    </w:p>
    <w:p w:rsidR="00000000" w:rsidDel="00000000" w:rsidP="00000000" w:rsidRDefault="00000000" w:rsidRPr="00000000" w14:paraId="0000004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Navýšení poplatku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Nebudou-li poplatky zaplaceny poplatníkem včas nebo ve správné výši, vyměří mu správce poplatku poplatek platebním výměrem nebo hromadným předpisným seznamem.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Včas nezaplacené poplatky nebo část těchto poplatků může správce poplatku zvýšit až na trojnásobek; toto zvýšení je příslušenstvím poplatku sledujícím jeho osud.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9</w:t>
      </w:r>
    </w:p>
    <w:p w:rsidR="00000000" w:rsidDel="00000000" w:rsidP="00000000" w:rsidRDefault="00000000" w:rsidRPr="00000000" w14:paraId="00000047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Odpovědnost za zaplacení poplatku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vertAlign w:val="superscript"/>
        </w:rPr>
        <w:footnoteReference w:customMarkFollows="0"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Vznikne-li nedoplatek na poplatku poplatníkovi, který je ke dni splatnosti nezletilý </w:t>
        <w:br w:type="textWrapping"/>
        <w:t xml:space="preserve">a nenabyl plné svéprávnosti nebo který je ke dni splatnosti omezen ve svéprávnosti </w:t>
        <w:br w:type="textWrapping"/>
        <w:t xml:space="preserve"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 podle odstavce 1 vyměří správce poplatku poplatek zákonnému zástupci nebo opatrovníkovi poplatníka.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Je-li zákonných zástupců nebo opatrovníků více, jsou povinni plnit poplatkovou povinnost společně a nerozdílně.</w:t>
      </w:r>
    </w:p>
    <w:p w:rsidR="00000000" w:rsidDel="00000000" w:rsidP="00000000" w:rsidRDefault="00000000" w:rsidRPr="00000000" w14:paraId="0000004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ind w:left="3540" w:firstLine="708.0000000000001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10</w:t>
      </w:r>
    </w:p>
    <w:p w:rsidR="00000000" w:rsidDel="00000000" w:rsidP="00000000" w:rsidRDefault="00000000" w:rsidRPr="00000000" w14:paraId="0000004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ind w:left="3399" w:firstLine="141.00000000000023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Společná ustanovení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svěřenský fond, podílový fond nebo fond obhospodařovaný penzijní společností, do kterých je vložena nemovitá věc, se pro účely poplatků za komunální odpad hledí jako na vlastníka této nemovité věci.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11</w:t>
      </w:r>
    </w:p>
    <w:p w:rsidR="00000000" w:rsidDel="00000000" w:rsidP="00000000" w:rsidRDefault="00000000" w:rsidRPr="00000000" w14:paraId="0000005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Přechodná ustanovení</w:t>
      </w:r>
    </w:p>
    <w:p w:rsidR="00000000" w:rsidDel="00000000" w:rsidP="00000000" w:rsidRDefault="00000000" w:rsidRPr="00000000" w14:paraId="0000005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before="120" w:line="264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54">
      <w:pPr>
        <w:tabs>
          <w:tab w:val="left" w:pos="3780"/>
        </w:tabs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12</w:t>
      </w:r>
    </w:p>
    <w:p w:rsidR="00000000" w:rsidDel="00000000" w:rsidP="00000000" w:rsidRDefault="00000000" w:rsidRPr="00000000" w14:paraId="0000005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Zrušovací ustanovení</w:t>
      </w:r>
    </w:p>
    <w:p w:rsidR="00000000" w:rsidDel="00000000" w:rsidP="00000000" w:rsidRDefault="00000000" w:rsidRPr="00000000" w14:paraId="00000057">
      <w:pPr>
        <w:spacing w:before="120" w:line="288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Zrušuje se obecně závazná vyhláška obce č. 2/2021,o místním poplatku za obecní systém odpadového hospodářství ze dne 25. 10. 2021. </w:t>
      </w:r>
    </w:p>
    <w:p w:rsidR="00000000" w:rsidDel="00000000" w:rsidP="00000000" w:rsidRDefault="00000000" w:rsidRPr="00000000" w14:paraId="00000058">
      <w:pPr>
        <w:spacing w:before="120" w:line="264" w:lineRule="auto"/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8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Čl. 13</w:t>
      </w:r>
    </w:p>
    <w:p w:rsidR="00000000" w:rsidDel="00000000" w:rsidP="00000000" w:rsidRDefault="00000000" w:rsidRPr="00000000" w14:paraId="0000005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Účinnost</w:t>
      </w:r>
    </w:p>
    <w:p w:rsidR="00000000" w:rsidDel="00000000" w:rsidP="00000000" w:rsidRDefault="00000000" w:rsidRPr="00000000" w14:paraId="0000005B">
      <w:pPr>
        <w:spacing w:before="120" w:line="288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dnem 1.1.2023. </w:t>
      </w:r>
    </w:p>
    <w:p w:rsidR="00000000" w:rsidDel="00000000" w:rsidP="00000000" w:rsidRDefault="00000000" w:rsidRPr="00000000" w14:paraId="0000005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60" w:lineRule="auto"/>
        <w:rPr>
          <w:rFonts w:ascii="Arial" w:cs="Arial" w:eastAsia="Arial" w:hAnsi="Arial"/>
          <w:i w:val="1"/>
          <w:color w:val="1a4bd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120" w:line="264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20" w:line="264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20" w:line="264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440"/>
          <w:tab w:val="left" w:pos="7020"/>
        </w:tabs>
        <w:spacing w:line="264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6120"/>
        </w:tabs>
        <w:spacing w:line="264" w:lineRule="auto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ab/>
        <w:t xml:space="preserve">............................................</w:t>
        <w:tab/>
        <w:t xml:space="preserve">..............................................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6660"/>
        </w:tabs>
        <w:spacing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    Hana Marková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Ing. Pavel Brázda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    místostarostka                                                                       starosta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Vyvěšeno na úřední desce dne: 29.12.2022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080"/>
          <w:tab w:val="left" w:pos="7020"/>
        </w:tabs>
        <w:spacing w:before="120" w:line="264" w:lineRule="auto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Sejmuto z úřední desky dne: 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993" w:top="9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15 odst. 1 zákona, o místních poplatcích</w:t>
      </w:r>
    </w:p>
  </w:footnote>
  <w:footnote w:id="1"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10e zákona o místních poplatcích</w:t>
      </w:r>
    </w:p>
  </w:footnote>
  <w:footnote w:id="2"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Za přihlášení fyzické osoby se podle § 16 c zákona o místních poplatcích považuje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a) přihlášení k trvalému pobytu podle zákona o evidenci obyvatel, nebo  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b) ohlášení místa pobytu podle zákona o pobytu cizinců na území České republiky, zákona o azylu nebo zákona o dočasné ochraně cizinců, jde-li o cizince,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1. kterému byl povolen trvalý pobyt,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2. který na území České republiky pobývá přechodně po dobu delší než 3 měsíce,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3. který je žadatelem o udělení mezinárodní ochrany nebo osobou strpěnou na území podle zákona o azylu a nebo žadatelem o poskytnutí dočasné ochrany podle zákona o dočasné ochraně cizinců, nebo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4. kterému byla udělena mezinárodní ochrana nebo jde o cizince požívajícího dočasné ochrany cizinců.</w:t>
      </w:r>
    </w:p>
  </w:footnote>
  <w:footnote w:id="3"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§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10p zákona o místních poplatcích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10o odst. 1 zákona o místních poplatcích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2 zákona o místních poplatcích</w:t>
      </w:r>
    </w:p>
  </w:footnote>
  <w:footnote w:id="6"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3 zákona o místních poplatcích</w:t>
      </w:r>
    </w:p>
  </w:footnote>
  <w:footnote w:id="7"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4 zákona o místních poplatcích</w:t>
      </w:r>
    </w:p>
  </w:footnote>
  <w:footnote w:id="8"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14a odst. 5 zákona o místních poplatcích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10h odst. 2 ve spojení s § 10o odst. 2 zákona o místních poplatcích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§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10h odst. 3 ve spojení s § 10o odst. 2 zákona o místních poplatcích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10g zákona o místních poplatcích</w:t>
      </w: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14a odst. 6 zákona o místních poplatcích</w:t>
      </w:r>
    </w:p>
  </w:footnote>
  <w:footnote w:id="13"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11 odst. 1 zákona o místních poplatcích</w:t>
      </w:r>
    </w:p>
  </w:footnote>
  <w:footnote w:id="14"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11 odst. 3 zákona o místních poplatcích</w:t>
      </w:r>
    </w:p>
  </w:footnote>
  <w:footnote w:id="15"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§ 12 zákona o místních poplatcích</w:t>
      </w:r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10q zákona o místních poplatcích</w:t>
      </w:r>
      <w:r w:rsidDel="00000000" w:rsidR="00000000" w:rsidRPr="00000000">
        <w:rPr>
          <w:rtl w:val="0"/>
        </w:rPr>
      </w:r>
    </w:p>
  </w:footnote>
  <w:footnote w:id="17"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§ 10r zákona o místních poplatcích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1353" w:hanging="359"/>
      </w:pPr>
      <w:rPr/>
    </w:lvl>
    <w:lvl w:ilvl="1">
      <w:start w:val="1"/>
      <w:numFmt w:val="lowerLetter"/>
      <w:lvlText w:val="%2)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10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1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ln" w:default="1">
    <w:name w:val="Normal"/>
    <w:qFormat w:val="1"/>
    <w:rsid w:val="00131160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131160"/>
    <w:pPr>
      <w:keepNext w:val="1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uiPriority w:val="10"/>
    <w:qFormat w:val="1"/>
    <w:rsid w:val="00131160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character" w:styleId="Nadpis2Char" w:customStyle="1">
    <w:name w:val="Nadpis 2 Char"/>
    <w:link w:val="Nadpis2"/>
    <w:semiHidden w:val="1"/>
    <w:rsid w:val="00131160"/>
    <w:rPr>
      <w:sz w:val="24"/>
      <w:szCs w:val="24"/>
      <w:u w:val="single"/>
      <w:lang w:bidi="ar-SA" w:eastAsia="cs-CZ" w:val="cs-CZ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styleId="ZkladntextodsazenChar" w:customStyle="1">
    <w:name w:val="Základní text odsazený Char"/>
    <w:link w:val="Zkladntextodsazen"/>
    <w:semiHidden w:val="1"/>
    <w:rsid w:val="00131160"/>
    <w:rPr>
      <w:sz w:val="24"/>
      <w:szCs w:val="24"/>
      <w:lang w:bidi="ar-SA" w:eastAsia="cs-CZ" w:val="cs-CZ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semiHidden w:val="1"/>
    <w:rsid w:val="00131160"/>
    <w:rPr>
      <w:sz w:val="24"/>
      <w:szCs w:val="24"/>
      <w:lang w:bidi="ar-SA" w:eastAsia="cs-CZ" w:val="cs-CZ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styleId="ZkladntextChar" w:customStyle="1">
    <w:name w:val="Základní text Char"/>
    <w:link w:val="Zkladntext"/>
    <w:semiHidden w:val="1"/>
    <w:rsid w:val="00131160"/>
    <w:rPr>
      <w:sz w:val="24"/>
      <w:szCs w:val="24"/>
      <w:lang w:bidi="ar-SA" w:eastAsia="cs-CZ" w:val="cs-CZ"/>
    </w:rPr>
  </w:style>
  <w:style w:type="paragraph" w:styleId="Textpoznpodarou">
    <w:name w:val="footnote text"/>
    <w:basedOn w:val="Normln"/>
    <w:link w:val="TextpoznpodarouChar"/>
    <w:semiHidden w:val="1"/>
    <w:rsid w:val="00131160"/>
    <w:rPr>
      <w:noProof w:val="1"/>
      <w:sz w:val="20"/>
      <w:szCs w:val="20"/>
    </w:rPr>
  </w:style>
  <w:style w:type="character" w:styleId="TextpoznpodarouChar" w:customStyle="1">
    <w:name w:val="Text pozn. pod čarou Char"/>
    <w:link w:val="Textpoznpodarou"/>
    <w:semiHidden w:val="1"/>
    <w:rsid w:val="00131160"/>
    <w:rPr>
      <w:noProof w:val="1"/>
      <w:lang w:bidi="ar-SA" w:eastAsia="cs-CZ" w:val="cs-CZ"/>
    </w:rPr>
  </w:style>
  <w:style w:type="character" w:styleId="Znakapoznpodarou">
    <w:name w:val="footnote reference"/>
    <w:semiHidden w:val="1"/>
    <w:rsid w:val="00131160"/>
    <w:rPr>
      <w:vertAlign w:val="superscript"/>
    </w:rPr>
  </w:style>
  <w:style w:type="paragraph" w:styleId="nzevzkona" w:customStyle="1">
    <w:name w:val="název zákona"/>
    <w:basedOn w:val="Nzev"/>
    <w:rsid w:val="00131160"/>
    <w:rPr>
      <w:rFonts w:ascii="Cambria" w:cs="Cambria" w:hAnsi="Cambria"/>
    </w:rPr>
  </w:style>
  <w:style w:type="paragraph" w:styleId="slalnk" w:customStyle="1">
    <w:name w:val="Čísla článků"/>
    <w:basedOn w:val="Normln"/>
    <w:rsid w:val="00131160"/>
    <w:pPr>
      <w:keepNext w:val="1"/>
      <w:keepLines w:val="1"/>
      <w:spacing w:after="60" w:before="360"/>
      <w:jc w:val="center"/>
    </w:pPr>
    <w:rPr>
      <w:b w:val="1"/>
      <w:bCs w:val="1"/>
      <w:szCs w:val="20"/>
    </w:rPr>
  </w:style>
  <w:style w:type="paragraph" w:styleId="Nzvylnk" w:customStyle="1">
    <w:name w:val="Názvy článků"/>
    <w:basedOn w:val="slalnk"/>
    <w:rsid w:val="00131160"/>
    <w:pPr>
      <w:spacing w:after="160" w:before="60"/>
    </w:pPr>
  </w:style>
  <w:style w:type="paragraph" w:styleId="Oddstavcevlncch" w:customStyle="1">
    <w:name w:val="Oddstavce v článcích"/>
    <w:basedOn w:val="Normln"/>
    <w:next w:val="Normln"/>
    <w:rsid w:val="00131160"/>
    <w:pPr>
      <w:keepLines w:val="1"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B10E4F"/>
    <w:rPr>
      <w:sz w:val="24"/>
      <w:szCs w:val="24"/>
    </w:rPr>
  </w:style>
  <w:style w:type="paragraph" w:styleId="NormlnIMP" w:customStyle="1">
    <w:name w:val="Normální_IMP"/>
    <w:basedOn w:val="Normln"/>
    <w:rsid w:val="00C67504"/>
    <w:pPr>
      <w:suppressAutoHyphens w:val="1"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Default" w:customStyle="1">
    <w:name w:val="Default"/>
    <w:rsid w:val="00650483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 w:val="1"/>
      <w:bCs w:val="1"/>
    </w:rPr>
  </w:style>
  <w:style w:type="character" w:styleId="PedmtkomenteChar" w:customStyle="1">
    <w:name w:val="Předmět komentáře Char"/>
    <w:link w:val="Pedmtkomente"/>
    <w:rsid w:val="00C119A6"/>
    <w:rPr>
      <w:b w:val="1"/>
      <w:bCs w:val="1"/>
    </w:rPr>
  </w:style>
  <w:style w:type="paragraph" w:styleId="Textbubliny">
    <w:name w:val="Balloon Text"/>
    <w:basedOn w:val="Normln"/>
    <w:link w:val="TextbublinyChar"/>
    <w:uiPriority w:val="99"/>
    <w:rsid w:val="00C119A6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rsid w:val="00C119A6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38283D"/>
    <w:pPr>
      <w:ind w:left="720"/>
    </w:pPr>
    <w:rPr>
      <w:rFonts w:ascii="Calibri" w:cs="Calibri" w:eastAsia="Calibri" w:hAnsi="Calibri"/>
      <w:sz w:val="22"/>
      <w:szCs w:val="22"/>
      <w:lang w:eastAsia="en-US"/>
    </w:rPr>
  </w:style>
  <w:style w:type="paragraph" w:styleId="Revize">
    <w:name w:val="Revision"/>
    <w:hidden w:val="1"/>
    <w:uiPriority w:val="99"/>
    <w:semiHidden w:val="1"/>
    <w:rsid w:val="00746AE3"/>
  </w:style>
  <w:style w:type="paragraph" w:styleId="ParagraphBold" w:customStyle="1">
    <w:name w:val="ParagraphBold"/>
    <w:link w:val="ParagraphBoldCar"/>
    <w:uiPriority w:val="99"/>
    <w:semiHidden w:val="1"/>
    <w:unhideWhenUsed w:val="1"/>
    <w:rsid w:val="00CE0106"/>
    <w:pPr>
      <w:spacing w:line="276" w:lineRule="auto"/>
    </w:pPr>
    <w:rPr>
      <w:rFonts w:asciiTheme="minorHAnsi" w:cstheme="minorBidi" w:eastAsiaTheme="minorHAnsi" w:hAnsiTheme="minorHAnsi"/>
      <w:b w:val="1"/>
      <w:sz w:val="28"/>
      <w:szCs w:val="22"/>
    </w:rPr>
  </w:style>
  <w:style w:type="character" w:styleId="ParagraphBoldCar" w:customStyle="1">
    <w:name w:val="ParagraphBoldCar"/>
    <w:link w:val="ParagraphBold"/>
    <w:uiPriority w:val="99"/>
    <w:semiHidden w:val="1"/>
    <w:unhideWhenUsed w:val="1"/>
    <w:rsid w:val="00CE0106"/>
    <w:rPr>
      <w:rFonts w:asciiTheme="minorHAnsi" w:cstheme="minorBidi" w:eastAsiaTheme="minorHAnsi" w:hAnsiTheme="minorHAnsi"/>
      <w:b w:val="1"/>
      <w:sz w:val="28"/>
      <w:szCs w:val="22"/>
    </w:rPr>
  </w:style>
  <w:style w:type="paragraph" w:styleId="ParagraphUnnumbered" w:customStyle="1">
    <w:name w:val="ParagraphUnnumbered"/>
    <w:link w:val="ParagraphUnnumberedCar"/>
    <w:uiPriority w:val="99"/>
    <w:unhideWhenUsed w:val="1"/>
    <w:rsid w:val="007114A6"/>
    <w:pPr>
      <w:spacing w:line="276" w:lineRule="auto"/>
      <w:jc w:val="both"/>
    </w:pPr>
    <w:rPr>
      <w:rFonts w:asciiTheme="minorHAnsi" w:cstheme="minorBidi" w:eastAsiaTheme="minorHAnsi" w:hAnsiTheme="minorHAnsi"/>
      <w:szCs w:val="22"/>
    </w:rPr>
  </w:style>
  <w:style w:type="character" w:styleId="ParagraphUnnumberedCar" w:customStyle="1">
    <w:name w:val="ParagraphUnnumberedCar"/>
    <w:link w:val="ParagraphUnnumbered"/>
    <w:uiPriority w:val="99"/>
    <w:unhideWhenUsed w:val="1"/>
    <w:rsid w:val="007114A6"/>
    <w:rPr>
      <w:rFonts w:asciiTheme="minorHAnsi" w:cstheme="minorBidi" w:eastAsiaTheme="minorHAnsi" w:hAnsiTheme="minorHAnsi"/>
      <w:sz w:val="24"/>
      <w:szCs w:val="2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sXrtvAeDSMb3VKWci0KaYUI/w==">AMUW2mVZXOfe8B/das7ktlYWRJOsx28za+tjG/0b2PGZScMfpyf53UOnMxkpoJ/LUGsnZ+WTGTfYKZ02J3AZANIiDQ1Pc8p6EbkYnNxf9jlvkdez1BYlGWbaYja+ua86NqkAUoDuPOuA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2021-10-25T10:51:00Z</dcterms:created>
  <dc:creator>Mgr. Lukáš Toman</dc:creator>
</cp:coreProperties>
</file>