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Staříč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Staříč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obce Staříč,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kterou se zrušuje obecně závazná vyhláška č. 3/2020,  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místním poplatku ze vstupného, ze dne 13.07.2020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obce Staříč se na svém zasedání dne 20. listopadu 2023, usnesením</w:t>
        <w:br w:type="textWrapping"/>
        <w:t xml:space="preserve">č. 174/2316 usneslo vydat na základě § 84 odst. 2 písm. h) zákona č. 128/2000 Sb., o obcích (obecní zřízení), ve znění pozdějších předpisů, tuto obecně závaznou vyhlášku: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1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Zrušovací ustanovení</w:t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Zrušuje se obecně závazná vyhláška č. 3/2020, o místním poplatku ze vstupného,</w:t>
        <w:br w:type="textWrapping"/>
        <w:t xml:space="preserve">ze dne 13.07.2020.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obecně závazná vyhláška nabývá účinnosti dnem 01.01.2024.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620"/>
          <w:tab w:val="left" w:leader="none" w:pos="7740"/>
        </w:tabs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1321"/>
          <w:tab w:val="left" w:leader="none" w:pos="7380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1B">
      <w:pPr>
        <w:tabs>
          <w:tab w:val="left" w:leader="none" w:pos="1321"/>
          <w:tab w:val="left" w:leader="none" w:pos="738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Layout w:type="fixed"/>
        <w:tblLook w:val="04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Libor Alex</w:t>
              <w:br w:type="textWrapping"/>
              <w:t xml:space="preserve"> starosta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Pavel Volný</w:t>
              <w:br w:type="textWrapping"/>
              <w:t xml:space="preserve"> místostarosta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 w:val="1"/>
    <w:rsid w:val="00EF00BF"/>
    <w:pPr>
      <w:keepNext w:val="1"/>
      <w:jc w:val="both"/>
      <w:outlineLvl w:val="1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 w:val="1"/>
    <w:unhideWhenUsed w:val="1"/>
    <w:rsid w:val="00196F0E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semiHidden w:val="1"/>
    <w:rsid w:val="00196F0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69NIo7Fms7eSmE9716PIR9zCNA==">CgMxLjA4AHIhMXFzWktha0hMOGoycWhaVmFHd3o5aU4zUHAwUWxDRnFt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2023-11-21T07:30:00Z</dcterms:created>
  <dc:creator>Standard</dc:creator>
</cp:coreProperties>
</file>