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Pr>
        <w:drawing>
          <wp:inline distB="0" distT="0" distL="114300" distR="114300">
            <wp:extent cx="705485" cy="762635"/>
            <wp:effectExtent b="0" l="0" r="0" t="0"/>
            <wp:docPr id="10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05485" cy="762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40"/>
          <w:szCs w:val="4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0"/>
          <w:szCs w:val="40"/>
          <w:u w:val="none"/>
          <w:shd w:fill="auto" w:val="clear"/>
          <w:vertAlign w:val="baseline"/>
          <w:rtl w:val="0"/>
        </w:rPr>
        <w:t xml:space="preserve">O B E C   H R O B C 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ZASTUPITELSTVO OBCE HROBCE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Obecně závazná vyhláška č. 3/2019,</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o místním poplatku ze psů</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13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Zastupitelstvo obce Hrobce se na svém zasedání dne 19. prosince 2019 usneslo usnesením č.</w:t>
      </w:r>
      <w:r w:rsidDel="00000000" w:rsidR="00000000" w:rsidRPr="00000000">
        <w:rPr>
          <w:rFonts w:ascii="Arial Narrow" w:cs="Arial Narrow" w:eastAsia="Arial Narrow" w:hAnsi="Arial Narrow"/>
          <w:i w:val="1"/>
          <w:sz w:val="24"/>
          <w:szCs w:val="24"/>
          <w:rtl w:val="0"/>
        </w:rPr>
        <w:t xml:space="preserve"> 7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1</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Úvodní ustanovení</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Obec Hrobce zavádí touto vyhláškou místní poplatek ze psů (dále jen „poplatek“).</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Správcem poplatku je obecní úřad.</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2</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Předmět poplatku a poplatník</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Předmět poplatku upravuje zákon.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Poplatníka vymezuje zákon.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highlight w:val="magenta"/>
          <w:u w:val="none"/>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3</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Ohlašovací povinnost</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Poplatník je povinen podat správci poplatku ohlášení do 15 dnů od vzniku poplatkové povinnosti. Ve stejné lhůtě se ohlašuje nárok na osvobození, existoval-li důvod osvobození v okamžiku vzniku poplatkové povinnosti.</w:t>
      </w:r>
    </w:p>
    <w:p w:rsidR="00000000" w:rsidDel="00000000" w:rsidP="00000000" w:rsidRDefault="00000000" w:rsidRPr="00000000" w14:paraId="0000001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Obsah ohlášení upravuje zákon.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Postup při změně</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údajů uvedených v ohlášení upravuje zákon.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3"/>
          <w:szCs w:val="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3"/>
          <w:szCs w:val="23"/>
          <w:u w:val="none"/>
          <w:shd w:fill="auto" w:val="clear"/>
          <w:vertAlign w:val="baseline"/>
          <w:rtl w:val="0"/>
        </w:rPr>
        <w:t xml:space="preserve">Důsledky nesplnění ohlašovací povinnosti ke vzniku osvobození stanoví zákon.</w:t>
      </w:r>
      <w:r w:rsidDel="00000000" w:rsidR="00000000" w:rsidRPr="00000000">
        <w:rPr>
          <w:rFonts w:ascii="Arial Narrow" w:cs="Arial Narrow" w:eastAsia="Arial Narrow" w:hAnsi="Arial Narrow"/>
          <w:b w:val="0"/>
          <w:i w:val="0"/>
          <w:smallCaps w:val="0"/>
          <w:strike w:val="0"/>
          <w:color w:val="000000"/>
          <w:sz w:val="23"/>
          <w:szCs w:val="23"/>
          <w:u w:val="none"/>
          <w:shd w:fill="auto" w:val="clear"/>
          <w:vertAlign w:val="superscript"/>
        </w:rPr>
        <w:footnoteReference w:customMarkFollows="0" w:id="6"/>
      </w:r>
      <w:r w:rsidDel="00000000" w:rsidR="00000000" w:rsidRPr="00000000">
        <w:rPr>
          <w:rFonts w:ascii="Arial Narrow" w:cs="Arial Narrow" w:eastAsia="Arial Narrow" w:hAnsi="Arial Narrow"/>
          <w:b w:val="0"/>
          <w:i w:val="0"/>
          <w:smallCaps w:val="0"/>
          <w:strike w:val="0"/>
          <w:color w:val="000000"/>
          <w:sz w:val="23"/>
          <w:szCs w:val="23"/>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highlight w:val="magenta"/>
          <w:u w:val="none"/>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4</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Sazba poplatku</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72.0" w:type="dxa"/>
        <w:jc w:val="left"/>
        <w:tblInd w:w="7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1984"/>
        <w:gridCol w:w="2126"/>
        <w:tblGridChange w:id="0">
          <w:tblGrid>
            <w:gridCol w:w="4962"/>
            <w:gridCol w:w="1984"/>
            <w:gridCol w:w="2126"/>
          </w:tblGrid>
        </w:tblGridChange>
      </w:tblGrid>
      <w:tr>
        <w:tc>
          <w:tcPr>
            <w:tcBorders>
              <w:top w:color="000000" w:space="0" w:sz="0" w:val="nil"/>
              <w:left w:color="000000" w:space="0" w:sz="0" w:val="nil"/>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3"/>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za jednoho psa</w:t>
            </w:r>
          </w:p>
        </w:tc>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za druhého a každého dalšího psa téhož držitele</w:t>
            </w:r>
          </w:p>
        </w:tc>
      </w:tr>
      <w:tr>
        <w:tc>
          <w:tcP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3"/>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Sazba poplatku činí za kalendářní rok</w:t>
            </w: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100 Kč</w:t>
            </w:r>
          </w:p>
        </w:tc>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100 Kč</w:t>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5</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Osvobození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Důvody osvobození od poplatku stanoví zákon.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7"/>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Dále se touto vyhláškou stanoví další osvobození od poplatku pro poplatníka, který je poživatel invalidního, starobního, vdovského nebo vdoveckého důchodu, který je jeho jediným zdrojem příjmu, nebo poživatel sirotčího důchodu.</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6</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Splatnost poplatku</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Poplatek je splatný nejpozději do 31. 3. příslušného kalendářního roku.</w:t>
      </w:r>
    </w:p>
    <w:p w:rsidR="00000000" w:rsidDel="00000000" w:rsidP="00000000" w:rsidRDefault="00000000" w:rsidRPr="00000000" w14:paraId="0000003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 případě vzniku poplatkové povinnosti (nebo zániku osvobození) po 15. 3. příslušného kalendářního roku, je poměrná výše poplatku splatná nejpozději do 15. dne kalendářního měsíce bezprostředně následujícího po měsíci vzniku poplatkové povinnosti (nebo zániku osvobození).</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7</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Zrušovací ustanovení</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Zrušuje se obecně závazná vyhláška č. 1/2011, o místním poplatku ze psů, ze dne 12. 4. 2011.</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Článek 8</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Účinnost</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Tato vyhláška nabývá účinnosti dnem 1. 1. 2020.</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35.0" w:type="dxa"/>
        <w:jc w:val="center"/>
        <w:tblLayout w:type="fixed"/>
        <w:tblLook w:val="0000"/>
      </w:tblPr>
      <w:tblGrid>
        <w:gridCol w:w="4536"/>
        <w:gridCol w:w="4499"/>
        <w:tblGridChange w:id="0">
          <w:tblGrid>
            <w:gridCol w:w="4536"/>
            <w:gridCol w:w="4499"/>
          </w:tblGrid>
        </w:tblGridChange>
      </w:tblGrid>
      <w:tr>
        <w:tc>
          <w:tcP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tc>
      </w:tr>
      <w:tr>
        <w:tc>
          <w:tcP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Bc. Petra Peřinová</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místostarostka</w:t>
            </w:r>
          </w:p>
        </w:tc>
        <w:tc>
          <w:tcP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Ing. Kateřina Hlaváčová</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starostka</w:t>
            </w:r>
          </w:p>
        </w:tc>
      </w:tr>
    </w:tb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702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Vyvěšeno na úřední desce dne:</w:t>
        <w:tab/>
      </w:r>
      <w:r w:rsidDel="00000000" w:rsidR="00000000" w:rsidRPr="00000000">
        <w:rPr>
          <w:rFonts w:ascii="Arial Narrow" w:cs="Arial Narrow" w:eastAsia="Arial Narrow" w:hAnsi="Arial Narrow"/>
          <w:sz w:val="24"/>
          <w:szCs w:val="24"/>
          <w:rtl w:val="0"/>
        </w:rPr>
        <w:t xml:space="preserve">7. 1. 2020</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Sejmuto z úřední desky dne:</w:t>
      </w:r>
    </w:p>
    <w:sectPr>
      <w:pgSz w:h="16838" w:w="11906"/>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highlight w:val="green"/>
          <w:u w:val="none"/>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15 odst. 1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Správcem poplatku je obecní úřad.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1">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2 odst. 2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Poplatek ze psů se platí ze psů starších 3 měsíců.)</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2 odst. 3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2 odst. 4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Při změně místa přihlášení nebo sídla platí držitel psa poplatek od počátku kalendářního měsíce následujícího po měsíci, ve kterém změna nastala, nově příslušné obci. Pro výpočet poměrné výše poplatku platí obdobně odstavec 3.</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2">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Times New Roman" w:cs="Times New Roman" w:eastAsia="Times New Roman" w:hAnsi="Times New Roman"/>
          <w:b w:val="0"/>
          <w:i w:val="0"/>
          <w:smallCaps w:val="0"/>
          <w:strike w:val="0"/>
          <w:color w:val="000000"/>
          <w:sz w:val="20"/>
          <w:szCs w:val="20"/>
          <w:highlight w:val="green"/>
          <w:u w:val="none"/>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2 odst. 1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Poplatek ze psů platí držitel psa. Tím může být pro účely tohoto poplatku osoba, která je přihlášena nebo má sídlo na území České republiky.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2 odst. 4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Poplatek ze psů platí držitel obci příslušné podle svého místa přihlášení nebo sídla.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3">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14a odst. 2, 3 a 5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2) V ohlášení poplatník nebo plátce uvede</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1.0000000000000142"/>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c) údaje rozhodné pro stanovení výše poplatku (včetně např. důvodů osvobození, pokud existují již v okamžiku podání ohlášení).</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3) Poplatník nebo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4">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včetně zániku poplatkové povinnosti </w:t>
      </w:r>
    </w:p>
  </w:footnote>
  <w:footnote w:id="5">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14a odst. 4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Dojde-li ke změně údajů uvedených v ohlášení, je poplatník povinen tuto změnu oznámit do 15 dnů ode dne, kdy nastala, nestanoví-li obec v obecně závazné vyhlášce delší lhůtu.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6">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14a odst. 6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7">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2 odst. 2 zákona o místních poplatcích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57" w:hanging="357"/>
      </w:pPr>
      <w:rPr>
        <w:b w:val="0"/>
        <w:i w:val="0"/>
        <w:strike w:val="0"/>
        <w:vertAlign w:val="baseline"/>
      </w:rPr>
    </w:lvl>
    <w:lvl w:ilvl="1">
      <w:start w:val="1"/>
      <w:numFmt w:val="lowerLetter"/>
      <w:lvlText w:val="%2)"/>
      <w:lvlJc w:val="left"/>
      <w:pPr>
        <w:ind w:left="1021" w:hanging="454"/>
      </w:pPr>
      <w:rPr>
        <w:vertAlign w:val="baseline"/>
      </w:rPr>
    </w:lvl>
    <w:lvl w:ilvl="2">
      <w:start w:val="1"/>
      <w:numFmt w:val="lowerRoman"/>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left"/>
      <w:pPr>
        <w:ind w:left="3600" w:hanging="360"/>
      </w:pPr>
      <w:rPr>
        <w:vertAlign w:val="baseline"/>
      </w:rPr>
    </w:lvl>
  </w:abstractNum>
  <w:abstractNum w:abstractNumId="2">
    <w:lvl w:ilvl="0">
      <w:start w:val="1"/>
      <w:numFmt w:val="decimal"/>
      <w:lvlText w:val="%1)"/>
      <w:lvlJc w:val="left"/>
      <w:pPr>
        <w:ind w:left="357" w:hanging="35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57" w:hanging="357"/>
      </w:pPr>
      <w:rPr>
        <w:rFonts w:ascii="Times New Roman" w:cs="Times New Roman" w:eastAsia="Times New Roman" w:hAnsi="Times New Roman"/>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decimal"/>
      <w:lvlText w:val="%1)"/>
      <w:lvlJc w:val="left"/>
      <w:pPr>
        <w:ind w:left="357" w:hanging="357"/>
      </w:pPr>
      <w:rPr>
        <w:vertAlign w:val="baseline"/>
      </w:rPr>
    </w:lvl>
    <w:lvl w:ilvl="1">
      <w:start w:val="1"/>
      <w:numFmt w:val="lowerLetter"/>
      <w:lvlText w:val="%2)"/>
      <w:lvlJc w:val="left"/>
      <w:pPr>
        <w:ind w:left="1440" w:hanging="360"/>
      </w:pPr>
      <w:rPr>
        <w:vertAlign w:val="baseline"/>
      </w:rPr>
    </w:lvl>
    <w:lvl w:ilvl="2">
      <w:start w:val="2"/>
      <w:numFmt w:val="lowerRoman"/>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Nadpis1">
    <w:name w:val="Nadpis 1"/>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cs-CZ" w:val="cs-CZ"/>
    </w:rPr>
  </w:style>
  <w:style w:type="paragraph" w:styleId="Nadpis4">
    <w:name w:val="Nadpis 4"/>
    <w:basedOn w:val="Normální"/>
    <w:next w:val="Normální"/>
    <w:autoRedefine w:val="0"/>
    <w:hidden w:val="0"/>
    <w:qFormat w:val="1"/>
    <w:pPr>
      <w:keepNext w:val="1"/>
      <w:suppressAutoHyphens w:val="1"/>
      <w:spacing w:after="60" w:before="240" w:line="1" w:lineRule="atLeast"/>
      <w:ind w:leftChars="-1" w:rightChars="0" w:firstLineChars="-1"/>
      <w:textDirection w:val="btLr"/>
      <w:textAlignment w:val="top"/>
      <w:outlineLvl w:val="3"/>
    </w:pPr>
    <w:rPr>
      <w:rFonts w:ascii="Calibri" w:cs="Times New Roman" w:eastAsia="Times New Roman" w:hAnsi="Calibri"/>
      <w:b w:val="1"/>
      <w:bCs w:val="1"/>
      <w:w w:val="100"/>
      <w:position w:val="-1"/>
      <w:sz w:val="28"/>
      <w:szCs w:val="28"/>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Základnítextodsazený">
    <w:name w:val="Základní text odsazený"/>
    <w:basedOn w:val="Normální"/>
    <w:next w:val="Základnítextodsazený"/>
    <w:autoRedefine w:val="0"/>
    <w:hidden w:val="0"/>
    <w:qFormat w:val="0"/>
    <w:pPr>
      <w:suppressAutoHyphens w:val="1"/>
      <w:spacing w:line="1" w:lineRule="atLeast"/>
      <w:ind w:left="708" w:leftChars="-1" w:rightChars="0" w:firstLine="357" w:firstLineChars="-1"/>
      <w:jc w:val="both"/>
      <w:textDirection w:val="btLr"/>
      <w:textAlignment w:val="top"/>
      <w:outlineLvl w:val="0"/>
    </w:pPr>
    <w:rPr>
      <w:w w:val="100"/>
      <w:position w:val="-1"/>
      <w:sz w:val="24"/>
      <w:szCs w:val="24"/>
      <w:effect w:val="none"/>
      <w:vertAlign w:val="baseline"/>
      <w:cs w:val="0"/>
      <w:em w:val="none"/>
      <w:lang w:bidi="ar-SA" w:eastAsia="cs-CZ" w:val="cs-CZ"/>
    </w:rPr>
  </w:style>
  <w:style w:type="character" w:styleId="ZákladnítextodsazenýChar">
    <w:name w:val="Základní text odsazený Char"/>
    <w:next w:val="ZákladnítextodsazenýChar"/>
    <w:autoRedefine w:val="0"/>
    <w:hidden w:val="0"/>
    <w:qFormat w:val="0"/>
    <w:rPr>
      <w:w w:val="100"/>
      <w:position w:val="-1"/>
      <w:sz w:val="24"/>
      <w:szCs w:val="24"/>
      <w:effect w:val="none"/>
      <w:vertAlign w:val="baseline"/>
      <w:cs w:val="0"/>
      <w:em w:val="none"/>
      <w:lang w:bidi="ar-SA" w:eastAsia="cs-CZ" w:val="cs-CZ"/>
    </w:rPr>
  </w:style>
  <w:style w:type="paragraph" w:styleId="Textpozn.podčarou">
    <w:name w:val="Text pozn. pod čarou"/>
    <w:basedOn w:val="Normální"/>
    <w:next w:val="Textpozn.podčarou"/>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sz w:val="20"/>
      <w:szCs w:val="20"/>
      <w:effect w:val="none"/>
      <w:vertAlign w:val="baseline"/>
      <w:cs w:val="0"/>
      <w:em w:val="none"/>
      <w:lang w:bidi="ar-SA" w:eastAsia="und" w:val="und"/>
    </w:rPr>
  </w:style>
  <w:style w:type="character" w:styleId="Textpozn.podčarouChar">
    <w:name w:val="Text pozn. pod čarou Char"/>
    <w:next w:val="Textpozn.podčarouChar"/>
    <w:autoRedefine w:val="0"/>
    <w:hidden w:val="0"/>
    <w:qFormat w:val="0"/>
    <w:rPr>
      <w:noProof w:val="1"/>
      <w:w w:val="100"/>
      <w:position w:val="-1"/>
      <w:effect w:val="none"/>
      <w:vertAlign w:val="baseline"/>
      <w:cs w:val="0"/>
      <w:em w:val="none"/>
      <w:lang w:bidi="ar-SA" w:eastAsia="und" w:val="und"/>
    </w:rPr>
  </w:style>
  <w:style w:type="character" w:styleId="Značkapozn.podčarou">
    <w:name w:val="Značka pozn. pod čarou"/>
    <w:next w:val="Značkapozn.podčarou"/>
    <w:autoRedefine w:val="0"/>
    <w:hidden w:val="0"/>
    <w:qFormat w:val="0"/>
    <w:rPr>
      <w:w w:val="100"/>
      <w:position w:val="-1"/>
      <w:effect w:val="none"/>
      <w:vertAlign w:val="superscript"/>
      <w:cs w:val="0"/>
      <w:em w:val="none"/>
      <w:lang/>
    </w:rPr>
  </w:style>
  <w:style w:type="paragraph" w:styleId="Základnítext3">
    <w:name w:val="Základní text 3"/>
    <w:basedOn w:val="Normální"/>
    <w:next w:val="Základní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cs-CZ" w:val="cs-CZ"/>
    </w:rPr>
  </w:style>
  <w:style w:type="character" w:styleId="Základnítext3Char">
    <w:name w:val="Základní text 3 Char"/>
    <w:next w:val="Základnítext3Char"/>
    <w:autoRedefine w:val="0"/>
    <w:hidden w:val="0"/>
    <w:qFormat w:val="0"/>
    <w:rPr>
      <w:w w:val="100"/>
      <w:position w:val="-1"/>
      <w:sz w:val="16"/>
      <w:szCs w:val="16"/>
      <w:effect w:val="none"/>
      <w:vertAlign w:val="baseline"/>
      <w:cs w:val="0"/>
      <w:em w:val="none"/>
      <w:lang w:bidi="ar-SA" w:eastAsia="cs-CZ" w:val="cs-CZ"/>
    </w:rPr>
  </w:style>
  <w:style w:type="paragraph" w:styleId="názevzákona">
    <w:name w:val="název zákona"/>
    <w:basedOn w:val="Název"/>
    <w:next w:val="názevzákona"/>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cs="Cambria" w:hAnsi="Cambria"/>
      <w:b w:val="1"/>
      <w:bCs w:val="1"/>
      <w:w w:val="100"/>
      <w:kern w:val="28"/>
      <w:position w:val="-1"/>
      <w:sz w:val="32"/>
      <w:szCs w:val="32"/>
      <w:effect w:val="none"/>
      <w:vertAlign w:val="baseline"/>
      <w:cs w:val="0"/>
      <w:em w:val="none"/>
      <w:lang w:bidi="ar-SA" w:eastAsia="cs-CZ" w:val="cs-CZ"/>
    </w:rPr>
  </w:style>
  <w:style w:type="paragraph" w:styleId="Název">
    <w:name w:val="Název"/>
    <w:basedOn w:val="Normální"/>
    <w:next w:val="Název"/>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Arial" w:cs="Arial" w:hAnsi="Arial"/>
      <w:b w:val="1"/>
      <w:bCs w:val="1"/>
      <w:w w:val="100"/>
      <w:kern w:val="28"/>
      <w:position w:val="-1"/>
      <w:sz w:val="32"/>
      <w:szCs w:val="32"/>
      <w:effect w:val="none"/>
      <w:vertAlign w:val="baseline"/>
      <w:cs w:val="0"/>
      <w:em w:val="none"/>
      <w:lang w:bidi="ar-SA" w:eastAsia="cs-CZ" w:val="cs-CZ"/>
    </w:rPr>
  </w:style>
  <w:style w:type="paragraph" w:styleId="Normální(web)">
    <w:name w:val="Normální (web)"/>
    <w:basedOn w:val="Normální"/>
    <w:next w:val="Normální(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ZákladnítextChar">
    <w:name w:val="Základní text Char"/>
    <w:next w:val="ZákladnítextChar"/>
    <w:autoRedefine w:val="0"/>
    <w:hidden w:val="0"/>
    <w:qFormat w:val="0"/>
    <w:rPr>
      <w:w w:val="100"/>
      <w:position w:val="-1"/>
      <w:sz w:val="24"/>
      <w:szCs w:val="24"/>
      <w:effect w:val="none"/>
      <w:vertAlign w:val="baseline"/>
      <w:cs w:val="0"/>
      <w:em w:val="none"/>
      <w:lang w:bidi="ar-SA" w:eastAsia="cs-CZ" w:val="cs-CZ"/>
    </w:rPr>
  </w:style>
  <w:style w:type="paragraph" w:styleId="Základnítext_IMP">
    <w:name w:val="Základní text_IMP"/>
    <w:basedOn w:val="Normální"/>
    <w:next w:val="Základnítext_IMP"/>
    <w:autoRedefine w:val="0"/>
    <w:hidden w:val="0"/>
    <w:qFormat w:val="0"/>
    <w:pPr>
      <w:suppressAutoHyphens w:val="0"/>
      <w:overflowPunct w:val="0"/>
      <w:autoSpaceDE w:val="0"/>
      <w:autoSpaceDN w:val="0"/>
      <w:adjustRightInd w:val="0"/>
      <w:spacing w:line="276" w:lineRule="auto"/>
      <w:ind w:leftChars="-1" w:rightChars="0" w:firstLineChars="-1"/>
      <w:textDirection w:val="btLr"/>
      <w:textAlignment w:val="baseline"/>
      <w:outlineLvl w:val="0"/>
    </w:pPr>
    <w:rPr>
      <w:w w:val="100"/>
      <w:position w:val="-1"/>
      <w:sz w:val="24"/>
      <w:szCs w:val="20"/>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Číslačlánků">
    <w:name w:val="Čísla článků"/>
    <w:basedOn w:val="Normální"/>
    <w:next w:val="Číslačlánků"/>
    <w:autoRedefine w:val="0"/>
    <w:hidden w:val="0"/>
    <w:qFormat w:val="0"/>
    <w:pPr>
      <w:keepNext w:val="1"/>
      <w:keepLines w:val="1"/>
      <w:suppressAutoHyphens w:val="1"/>
      <w:spacing w:after="60" w:before="360" w:line="1" w:lineRule="atLeast"/>
      <w:ind w:leftChars="-1" w:rightChars="0" w:firstLineChars="-1"/>
      <w:jc w:val="center"/>
      <w:textDirection w:val="btLr"/>
      <w:textAlignment w:val="top"/>
      <w:outlineLvl w:val="0"/>
    </w:pPr>
    <w:rPr>
      <w:b w:val="1"/>
      <w:bCs w:val="1"/>
      <w:w w:val="100"/>
      <w:position w:val="-1"/>
      <w:sz w:val="24"/>
      <w:szCs w:val="20"/>
      <w:effect w:val="none"/>
      <w:vertAlign w:val="baseline"/>
      <w:cs w:val="0"/>
      <w:em w:val="none"/>
      <w:lang w:bidi="ar-SA" w:eastAsia="cs-CZ" w:val="cs-CZ"/>
    </w:rPr>
  </w:style>
  <w:style w:type="paragraph" w:styleId="Názvyčlánků">
    <w:name w:val="Názvy článků"/>
    <w:basedOn w:val="Číslačlánků"/>
    <w:next w:val="Názvyčlánků"/>
    <w:autoRedefine w:val="0"/>
    <w:hidden w:val="0"/>
    <w:qFormat w:val="0"/>
    <w:pPr>
      <w:keepNext w:val="1"/>
      <w:keepLines w:val="1"/>
      <w:suppressAutoHyphens w:val="1"/>
      <w:spacing w:after="160" w:before="60" w:line="1" w:lineRule="atLeast"/>
      <w:ind w:leftChars="-1" w:rightChars="0" w:firstLineChars="-1"/>
      <w:jc w:val="center"/>
      <w:textDirection w:val="btLr"/>
      <w:textAlignment w:val="top"/>
      <w:outlineLvl w:val="0"/>
    </w:pPr>
    <w:rPr>
      <w:b w:val="1"/>
      <w:bCs w:val="1"/>
      <w:w w:val="100"/>
      <w:position w:val="-1"/>
      <w:sz w:val="24"/>
      <w:szCs w:val="20"/>
      <w:effect w:val="none"/>
      <w:vertAlign w:val="baseline"/>
      <w:cs w:val="0"/>
      <w:em w:val="none"/>
      <w:lang w:bidi="ar-SA" w:eastAsia="cs-CZ" w:val="cs-CZ"/>
    </w:rPr>
  </w:style>
  <w:style w:type="paragraph" w:styleId="Normální1">
    <w:name w:val="Normální1"/>
    <w:basedOn w:val="Normální"/>
    <w:next w:val="Normální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Nadpis1Char">
    <w:name w:val="Nadpis 1 Char"/>
    <w:next w:val="Nadpis1Char"/>
    <w:autoRedefine w:val="0"/>
    <w:hidden w:val="0"/>
    <w:qFormat w:val="0"/>
    <w:rPr>
      <w:b w:val="1"/>
      <w:bCs w:val="1"/>
      <w:w w:val="100"/>
      <w:position w:val="-1"/>
      <w:sz w:val="24"/>
      <w:szCs w:val="24"/>
      <w:effect w:val="none"/>
      <w:vertAlign w:val="baseline"/>
      <w:cs w:val="0"/>
      <w:em w:val="none"/>
      <w:lang/>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snapToGrid w:val="0"/>
      <w:w w:val="100"/>
      <w:position w:val="-1"/>
      <w:sz w:val="24"/>
      <w:effect w:val="none"/>
      <w:vertAlign w:val="baseline"/>
      <w:cs w:val="0"/>
      <w:em w:val="none"/>
      <w:lang w:bidi="ar-SA" w:eastAsia="cs-CZ" w:val="cs-CZ"/>
    </w:rPr>
  </w:style>
  <w:style w:type="paragraph" w:styleId="Základnítextodsazený3">
    <w:name w:val="Základní text odsazený 3"/>
    <w:basedOn w:val="Normální"/>
    <w:next w:val="Základnítextodsazený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cs-CZ" w:val="cs-CZ"/>
    </w:rPr>
  </w:style>
  <w:style w:type="character" w:styleId="Základnítextodsazený3Char">
    <w:name w:val="Základní text odsazený 3 Char"/>
    <w:next w:val="Základnítextodsazený3Char"/>
    <w:autoRedefine w:val="0"/>
    <w:hidden w:val="0"/>
    <w:qFormat w:val="0"/>
    <w:rPr>
      <w:w w:val="100"/>
      <w:position w:val="-1"/>
      <w:sz w:val="16"/>
      <w:szCs w:val="16"/>
      <w:effect w:val="none"/>
      <w:vertAlign w:val="baseline"/>
      <w:cs w:val="0"/>
      <w:em w:val="none"/>
      <w:lang/>
    </w:rPr>
  </w:style>
  <w:style w:type="character" w:styleId="Nadpis4Char">
    <w:name w:val="Nadpis 4 Char"/>
    <w:next w:val="Nadpis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OLosYhLy1FGuNejaJoRxEH+FYQ==">AMUW2mVGOdITyk1w2qgt2zuab2P+kd/xFlhg57zVRe6Ejv4d7tE5olJYluuP9H3WG+ALgImkg/zfimnu4bBwAeiEy0qwD+cbJhEMCmCJq/lU3xNBTLVmN97yEVMr/Sk9//aTN7yXE1kr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2019-11-21T11:12:00Z</dcterms:created>
  <dc:creator>Mgr. Martin Pech</dc:creator>
</cp:coreProperties>
</file>