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C81F" w14:textId="77777777" w:rsidR="00A05041" w:rsidRPr="00CA6F20" w:rsidRDefault="00A05041" w:rsidP="00A05041">
      <w:pPr>
        <w:pStyle w:val="Default"/>
        <w:rPr>
          <w:b/>
          <w:bCs/>
          <w:color w:val="FF0000"/>
          <w:spacing w:val="36"/>
          <w:sz w:val="32"/>
          <w:szCs w:val="32"/>
        </w:rPr>
      </w:pPr>
    </w:p>
    <w:p w14:paraId="13FC39B0" w14:textId="77777777" w:rsidR="00A05041" w:rsidRDefault="00A05041" w:rsidP="00A05041">
      <w:pPr>
        <w:pStyle w:val="Default"/>
        <w:jc w:val="center"/>
        <w:rPr>
          <w:b/>
          <w:bCs/>
          <w:color w:val="auto"/>
          <w:spacing w:val="36"/>
          <w:sz w:val="32"/>
          <w:szCs w:val="32"/>
        </w:rPr>
      </w:pPr>
      <w:r w:rsidRPr="00D21E50">
        <w:rPr>
          <w:b/>
          <w:noProof/>
          <w:sz w:val="32"/>
          <w:szCs w:val="32"/>
        </w:rPr>
        <w:drawing>
          <wp:anchor distT="0" distB="0" distL="114300" distR="114300" simplePos="0" relativeHeight="251659264" behindDoc="0" locked="0" layoutInCell="1" allowOverlap="1" wp14:anchorId="38FC1577" wp14:editId="39D05624">
            <wp:simplePos x="0" y="0"/>
            <wp:positionH relativeFrom="column">
              <wp:posOffset>0</wp:posOffset>
            </wp:positionH>
            <wp:positionV relativeFrom="paragraph">
              <wp:posOffset>0</wp:posOffset>
            </wp:positionV>
            <wp:extent cx="800100" cy="10287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B37">
        <w:rPr>
          <w:b/>
          <w:bCs/>
          <w:color w:val="auto"/>
          <w:spacing w:val="36"/>
          <w:sz w:val="32"/>
          <w:szCs w:val="32"/>
        </w:rPr>
        <w:t>Statutární město Přerov</w:t>
      </w:r>
    </w:p>
    <w:p w14:paraId="4E3DC21E" w14:textId="77777777" w:rsidR="00A05041" w:rsidRPr="00446B37" w:rsidRDefault="00A05041" w:rsidP="00A05041">
      <w:pPr>
        <w:pStyle w:val="Default"/>
        <w:jc w:val="center"/>
        <w:rPr>
          <w:b/>
          <w:bCs/>
          <w:color w:val="auto"/>
          <w:spacing w:val="36"/>
          <w:sz w:val="32"/>
          <w:szCs w:val="32"/>
        </w:rPr>
      </w:pPr>
      <w:r>
        <w:rPr>
          <w:b/>
          <w:bCs/>
          <w:color w:val="auto"/>
          <w:spacing w:val="36"/>
          <w:sz w:val="32"/>
          <w:szCs w:val="32"/>
        </w:rPr>
        <w:t>Rada města Přerova</w:t>
      </w:r>
    </w:p>
    <w:p w14:paraId="324CE70B" w14:textId="77777777" w:rsidR="00A05041" w:rsidRPr="00446B37" w:rsidRDefault="00A05041" w:rsidP="00A05041">
      <w:pPr>
        <w:pStyle w:val="Default"/>
        <w:jc w:val="center"/>
        <w:rPr>
          <w:b/>
          <w:bCs/>
          <w:color w:val="auto"/>
          <w:spacing w:val="36"/>
          <w:sz w:val="32"/>
          <w:szCs w:val="32"/>
        </w:rPr>
      </w:pPr>
    </w:p>
    <w:p w14:paraId="4B486B49" w14:textId="010BABD8" w:rsidR="00A05041" w:rsidRPr="00446B37" w:rsidRDefault="00A05041" w:rsidP="00A05041">
      <w:pPr>
        <w:pStyle w:val="Default"/>
        <w:jc w:val="center"/>
        <w:rPr>
          <w:b/>
          <w:bCs/>
          <w:color w:val="auto"/>
          <w:spacing w:val="36"/>
          <w:sz w:val="32"/>
          <w:szCs w:val="32"/>
        </w:rPr>
      </w:pPr>
      <w:r w:rsidRPr="00446B37">
        <w:rPr>
          <w:b/>
          <w:bCs/>
          <w:color w:val="auto"/>
          <w:spacing w:val="36"/>
          <w:sz w:val="32"/>
          <w:szCs w:val="32"/>
        </w:rPr>
        <w:t xml:space="preserve">Nařízení města Přerova č. </w:t>
      </w:r>
      <w:r>
        <w:rPr>
          <w:b/>
          <w:bCs/>
          <w:color w:val="auto"/>
          <w:spacing w:val="36"/>
          <w:sz w:val="32"/>
          <w:szCs w:val="32"/>
        </w:rPr>
        <w:t>5</w:t>
      </w:r>
      <w:r w:rsidRPr="00446B37">
        <w:rPr>
          <w:b/>
          <w:bCs/>
          <w:color w:val="auto"/>
          <w:spacing w:val="36"/>
          <w:sz w:val="32"/>
          <w:szCs w:val="32"/>
        </w:rPr>
        <w:t>/20</w:t>
      </w:r>
      <w:r>
        <w:rPr>
          <w:b/>
          <w:bCs/>
          <w:color w:val="auto"/>
          <w:spacing w:val="36"/>
          <w:sz w:val="32"/>
          <w:szCs w:val="32"/>
        </w:rPr>
        <w:t>22</w:t>
      </w:r>
      <w:r w:rsidRPr="00446B37">
        <w:rPr>
          <w:b/>
          <w:bCs/>
          <w:color w:val="auto"/>
          <w:spacing w:val="36"/>
          <w:sz w:val="32"/>
          <w:szCs w:val="32"/>
        </w:rPr>
        <w:t>, kterým se vydává tržní řád</w:t>
      </w:r>
    </w:p>
    <w:p w14:paraId="3448A4A4" w14:textId="77777777" w:rsidR="00A05041" w:rsidRPr="00446B37" w:rsidRDefault="00A05041" w:rsidP="00A05041">
      <w:pPr>
        <w:pStyle w:val="Default"/>
        <w:rPr>
          <w:b/>
          <w:bCs/>
          <w:color w:val="auto"/>
          <w:spacing w:val="36"/>
          <w:sz w:val="28"/>
          <w:szCs w:val="28"/>
        </w:rPr>
      </w:pPr>
    </w:p>
    <w:p w14:paraId="61E0E83D" w14:textId="77777777" w:rsidR="00A05041" w:rsidRPr="00446B37" w:rsidRDefault="00A05041" w:rsidP="00A05041">
      <w:pPr>
        <w:pStyle w:val="Default"/>
        <w:jc w:val="center"/>
        <w:rPr>
          <w:b/>
          <w:bCs/>
          <w:color w:val="auto"/>
          <w:spacing w:val="36"/>
          <w:sz w:val="28"/>
          <w:szCs w:val="28"/>
        </w:rPr>
      </w:pPr>
    </w:p>
    <w:p w14:paraId="0C3A6300" w14:textId="19A56A9F" w:rsidR="00A05041" w:rsidRPr="0093747F" w:rsidRDefault="00A05041" w:rsidP="00A05041">
      <w:pPr>
        <w:pStyle w:val="Default"/>
        <w:jc w:val="both"/>
        <w:rPr>
          <w:color w:val="auto"/>
          <w:sz w:val="22"/>
          <w:szCs w:val="22"/>
        </w:rPr>
      </w:pPr>
      <w:r w:rsidRPr="0093747F">
        <w:rPr>
          <w:bCs/>
          <w:color w:val="auto"/>
          <w:sz w:val="22"/>
          <w:szCs w:val="22"/>
        </w:rPr>
        <w:t xml:space="preserve">Rada města Přerova se na své </w:t>
      </w:r>
      <w:r>
        <w:rPr>
          <w:bCs/>
          <w:color w:val="auto"/>
          <w:sz w:val="22"/>
          <w:szCs w:val="22"/>
        </w:rPr>
        <w:t>87.</w:t>
      </w:r>
      <w:r w:rsidRPr="0093747F">
        <w:rPr>
          <w:bCs/>
          <w:color w:val="auto"/>
          <w:sz w:val="22"/>
          <w:szCs w:val="22"/>
        </w:rPr>
        <w:t xml:space="preserve"> schůzi konané dne </w:t>
      </w:r>
      <w:r>
        <w:rPr>
          <w:bCs/>
          <w:color w:val="auto"/>
          <w:sz w:val="22"/>
          <w:szCs w:val="22"/>
        </w:rPr>
        <w:t>16.6.2022</w:t>
      </w:r>
      <w:r w:rsidRPr="0093747F">
        <w:rPr>
          <w:bCs/>
          <w:color w:val="auto"/>
          <w:sz w:val="22"/>
          <w:szCs w:val="22"/>
        </w:rPr>
        <w:t xml:space="preserve"> usnesením č. </w:t>
      </w:r>
      <w:r>
        <w:rPr>
          <w:bCs/>
          <w:color w:val="auto"/>
          <w:sz w:val="22"/>
          <w:szCs w:val="22"/>
        </w:rPr>
        <w:t>3261/87/10/</w:t>
      </w:r>
      <w:proofErr w:type="gramStart"/>
      <w:r>
        <w:rPr>
          <w:bCs/>
          <w:color w:val="auto"/>
          <w:sz w:val="22"/>
          <w:szCs w:val="22"/>
        </w:rPr>
        <w:t>2022</w:t>
      </w:r>
      <w:r w:rsidRPr="0093747F">
        <w:rPr>
          <w:bCs/>
          <w:color w:val="auto"/>
          <w:sz w:val="22"/>
          <w:szCs w:val="22"/>
        </w:rPr>
        <w:t xml:space="preserve">  usnesla</w:t>
      </w:r>
      <w:proofErr w:type="gramEnd"/>
      <w:r w:rsidRPr="0093747F">
        <w:rPr>
          <w:bCs/>
          <w:color w:val="auto"/>
          <w:sz w:val="22"/>
          <w:szCs w:val="22"/>
        </w:rPr>
        <w:t xml:space="preserve"> vydat na základě ustanovení § 18 zákona č. 455/1991 Sb., o živnostenském podnikání (živnostenský zákon), ve znění pozdějších předpisů, a v souladu s § 11 odst. 1 a § 102 odst. 2 písm. d) zákona č. 128/2000 Sb., o obcích (obecní zřízení), v znění pozdějších předpisů, toto nařízení:  </w:t>
      </w:r>
    </w:p>
    <w:p w14:paraId="36F4ADA0" w14:textId="77777777" w:rsidR="00A05041" w:rsidRPr="00E81973" w:rsidRDefault="00A05041" w:rsidP="00A05041">
      <w:pPr>
        <w:pStyle w:val="Default"/>
        <w:spacing w:before="160"/>
        <w:jc w:val="center"/>
        <w:rPr>
          <w:b/>
          <w:bCs/>
          <w:color w:val="auto"/>
          <w:szCs w:val="28"/>
        </w:rPr>
      </w:pPr>
    </w:p>
    <w:p w14:paraId="63B5968F" w14:textId="77777777" w:rsidR="00A05041" w:rsidRPr="0093747F" w:rsidRDefault="00A05041" w:rsidP="00A05041">
      <w:pPr>
        <w:pStyle w:val="Default"/>
        <w:spacing w:before="160"/>
        <w:jc w:val="center"/>
        <w:rPr>
          <w:b/>
          <w:bCs/>
          <w:color w:val="auto"/>
          <w:sz w:val="22"/>
          <w:szCs w:val="22"/>
        </w:rPr>
      </w:pPr>
      <w:r w:rsidRPr="0093747F">
        <w:rPr>
          <w:b/>
          <w:bCs/>
          <w:color w:val="auto"/>
          <w:sz w:val="22"/>
          <w:szCs w:val="22"/>
        </w:rPr>
        <w:t xml:space="preserve">Článek 1 </w:t>
      </w:r>
    </w:p>
    <w:p w14:paraId="485DD812" w14:textId="77777777" w:rsidR="00A05041" w:rsidRPr="0093747F" w:rsidRDefault="00A05041" w:rsidP="00A05041">
      <w:pPr>
        <w:pStyle w:val="Default"/>
        <w:jc w:val="center"/>
        <w:rPr>
          <w:color w:val="auto"/>
          <w:sz w:val="22"/>
          <w:szCs w:val="22"/>
        </w:rPr>
      </w:pPr>
      <w:r w:rsidRPr="0093747F">
        <w:rPr>
          <w:b/>
          <w:bCs/>
          <w:color w:val="auto"/>
          <w:sz w:val="22"/>
          <w:szCs w:val="22"/>
        </w:rPr>
        <w:t xml:space="preserve">Účel nařízení </w:t>
      </w:r>
    </w:p>
    <w:p w14:paraId="53370880" w14:textId="77777777" w:rsidR="00A05041" w:rsidRPr="0093747F" w:rsidRDefault="00A05041" w:rsidP="00A05041">
      <w:pPr>
        <w:pStyle w:val="odst"/>
        <w:tabs>
          <w:tab w:val="clear" w:pos="540"/>
          <w:tab w:val="left" w:pos="0"/>
        </w:tabs>
        <w:ind w:left="0" w:firstLine="0"/>
        <w:rPr>
          <w:color w:val="auto"/>
          <w:sz w:val="22"/>
          <w:szCs w:val="22"/>
        </w:rPr>
      </w:pPr>
      <w:r w:rsidRPr="0093747F">
        <w:rPr>
          <w:color w:val="auto"/>
          <w:sz w:val="22"/>
          <w:szCs w:val="22"/>
        </w:rPr>
        <w:t>Nařízení stanovuje podmínky, za kterých lze na území statutárního města Přerova uskutečňovat nabídku a prodej zboží (dále jen „prodej zboží“) a nabídku a poskytování služeb (dále jen „poskytování služeb“) mimo provozovnu určenou k tomuto účelu rozhodnutím, opatřením nebo jiným úkonem vyžadovaným stavebním zákonem</w:t>
      </w:r>
      <w:r w:rsidRPr="0093747F">
        <w:rPr>
          <w:color w:val="auto"/>
          <w:sz w:val="22"/>
          <w:szCs w:val="22"/>
          <w:vertAlign w:val="superscript"/>
        </w:rPr>
        <w:t>1)</w:t>
      </w:r>
      <w:r w:rsidRPr="0093747F">
        <w:rPr>
          <w:color w:val="auto"/>
          <w:sz w:val="22"/>
          <w:szCs w:val="22"/>
        </w:rPr>
        <w:t xml:space="preserve"> (dále „mimo určenou provozovnu“).</w:t>
      </w:r>
    </w:p>
    <w:p w14:paraId="014DE7CD" w14:textId="77777777" w:rsidR="00A05041" w:rsidRDefault="00A05041" w:rsidP="00A05041">
      <w:pPr>
        <w:pStyle w:val="Default"/>
        <w:spacing w:before="160"/>
        <w:jc w:val="center"/>
        <w:rPr>
          <w:b/>
          <w:bCs/>
          <w:color w:val="auto"/>
          <w:szCs w:val="28"/>
        </w:rPr>
      </w:pPr>
    </w:p>
    <w:p w14:paraId="24C25A06" w14:textId="77777777" w:rsidR="00A05041" w:rsidRPr="0093747F" w:rsidRDefault="00A05041" w:rsidP="00A05041">
      <w:pPr>
        <w:pStyle w:val="Default"/>
        <w:spacing w:before="160"/>
        <w:jc w:val="center"/>
        <w:rPr>
          <w:b/>
          <w:bCs/>
          <w:color w:val="auto"/>
          <w:sz w:val="22"/>
          <w:szCs w:val="22"/>
        </w:rPr>
      </w:pPr>
      <w:r w:rsidRPr="0093747F">
        <w:rPr>
          <w:b/>
          <w:bCs/>
          <w:color w:val="auto"/>
          <w:sz w:val="22"/>
          <w:szCs w:val="22"/>
        </w:rPr>
        <w:t xml:space="preserve">Článek 2 </w:t>
      </w:r>
    </w:p>
    <w:p w14:paraId="4F0454A6" w14:textId="77777777" w:rsidR="00A05041" w:rsidRPr="0093747F" w:rsidRDefault="00A05041" w:rsidP="00A05041">
      <w:pPr>
        <w:pStyle w:val="Default"/>
        <w:jc w:val="center"/>
        <w:rPr>
          <w:b/>
          <w:bCs/>
          <w:color w:val="auto"/>
          <w:sz w:val="22"/>
          <w:szCs w:val="22"/>
        </w:rPr>
      </w:pPr>
      <w:r w:rsidRPr="0093747F">
        <w:rPr>
          <w:b/>
          <w:bCs/>
          <w:color w:val="auto"/>
          <w:sz w:val="22"/>
          <w:szCs w:val="22"/>
        </w:rPr>
        <w:t xml:space="preserve">Základní pojmy </w:t>
      </w:r>
    </w:p>
    <w:p w14:paraId="743039AF" w14:textId="77777777" w:rsidR="00A05041" w:rsidRPr="0093747F" w:rsidRDefault="00A05041" w:rsidP="00A05041">
      <w:pPr>
        <w:pStyle w:val="odst"/>
        <w:rPr>
          <w:color w:val="auto"/>
          <w:sz w:val="22"/>
          <w:szCs w:val="22"/>
        </w:rPr>
      </w:pPr>
      <w:r w:rsidRPr="0093747F">
        <w:rPr>
          <w:color w:val="auto"/>
          <w:sz w:val="22"/>
          <w:szCs w:val="22"/>
        </w:rPr>
        <w:t>Pro účely tohoto nařízení se rozumí:</w:t>
      </w:r>
    </w:p>
    <w:p w14:paraId="7921DAC4"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tržištěm</w:t>
      </w:r>
      <w:r w:rsidRPr="0093747F">
        <w:rPr>
          <w:color w:val="auto"/>
          <w:sz w:val="22"/>
          <w:szCs w:val="22"/>
        </w:rPr>
        <w:t xml:space="preserve"> vymezený prostor umožňující celoroční prodej zboží nebo poskytování služeb mimo určenou provozovnu na tržních místech, ve kterém je možné umístit více než jeden stánek,</w:t>
      </w:r>
    </w:p>
    <w:p w14:paraId="22D29C7F"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tržnicí</w:t>
      </w:r>
      <w:r w:rsidRPr="0093747F">
        <w:rPr>
          <w:color w:val="auto"/>
          <w:sz w:val="22"/>
          <w:szCs w:val="22"/>
        </w:rPr>
        <w:t xml:space="preserve"> vymezený uzavíratelný prostor umožňující celoroční prodej zboží nebo poskytování služeb mimo určenou provozovnu na tržních místech, který je veřejnosti přístupný pouze v provozní době,</w:t>
      </w:r>
    </w:p>
    <w:p w14:paraId="04CA8164"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 xml:space="preserve">stánkem </w:t>
      </w:r>
      <w:r w:rsidRPr="0093747F">
        <w:rPr>
          <w:color w:val="auto"/>
          <w:sz w:val="22"/>
          <w:szCs w:val="22"/>
        </w:rPr>
        <w:t>prostory ohraničené pevnou nebo přenosnou konstrukcí, pulty, stolky, nebo obdobné prodejní zařízení,</w:t>
      </w:r>
    </w:p>
    <w:p w14:paraId="67D29737"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tržním místem</w:t>
      </w:r>
      <w:r w:rsidRPr="0093747F">
        <w:rPr>
          <w:color w:val="auto"/>
          <w:sz w:val="22"/>
          <w:szCs w:val="22"/>
        </w:rPr>
        <w:t xml:space="preserve"> místo vymezené na tržištích a tržnicích, využívané pro prodej zboží nebo poskytování služeb, včetně prostoru pro umístění prodejního zařízení, zboží, obalů, manipulačního prostoru apod., </w:t>
      </w:r>
    </w:p>
    <w:p w14:paraId="15001A89"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provozovatelem</w:t>
      </w:r>
      <w:r w:rsidRPr="0093747F">
        <w:rPr>
          <w:color w:val="auto"/>
          <w:sz w:val="22"/>
          <w:szCs w:val="22"/>
        </w:rPr>
        <w:t xml:space="preserve"> fyzická nebo právnická osoba provozující tržiště nebo tržnici, </w:t>
      </w:r>
    </w:p>
    <w:p w14:paraId="4006AF6B"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prodejcem</w:t>
      </w:r>
      <w:r w:rsidRPr="0093747F">
        <w:rPr>
          <w:color w:val="auto"/>
          <w:sz w:val="22"/>
          <w:szCs w:val="22"/>
        </w:rPr>
        <w:t xml:space="preserve"> fyzická nebo právnická osoba, která nabízí, prodává zboží nebo poskytuje služby na tržišti, tržnici, předsunutém prodejním místě, restaurační předzahrádce nebo z pojízdné prodejny,</w:t>
      </w:r>
    </w:p>
    <w:p w14:paraId="5B8477CF"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předsunutým prodejním místem</w:t>
      </w:r>
      <w:r w:rsidRPr="0093747F">
        <w:rPr>
          <w:color w:val="auto"/>
          <w:sz w:val="22"/>
          <w:szCs w:val="22"/>
        </w:rPr>
        <w:t xml:space="preserve"> prostranství mimo určenou provozovnu, na kterém je na zpevněném povrchu umístěno zařízení pro prodej zboží nebo poskytování služeb stejného nebo obdobného druhu jako v provozovně, se kterou těsně prostorově sousedí, funkčně souvisí a má stejného provozovatele,</w:t>
      </w:r>
    </w:p>
    <w:p w14:paraId="03F5152C"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restaurační předzahrádkou</w:t>
      </w:r>
      <w:r w:rsidRPr="0093747F">
        <w:rPr>
          <w:color w:val="auto"/>
          <w:sz w:val="22"/>
          <w:szCs w:val="22"/>
        </w:rPr>
        <w:t xml:space="preserve"> prostranství, které je využíváno pro poskytování služeb (zejm. hostinské činnosti, cukrárny, občerstvení apod.), na němž je na zpevněném povrchu umístěno zařízení pro poskytování těchto služeb, a to u provozovny, se kterou těsně prostorově sousedí, funkčně souvisí a má stejného provozovatele, </w:t>
      </w:r>
    </w:p>
    <w:p w14:paraId="6C39EBB5" w14:textId="77777777" w:rsidR="00A05041" w:rsidRPr="0093747F" w:rsidRDefault="00A05041" w:rsidP="00A05041">
      <w:pPr>
        <w:pStyle w:val="Default"/>
        <w:numPr>
          <w:ilvl w:val="0"/>
          <w:numId w:val="1"/>
        </w:numPr>
        <w:jc w:val="both"/>
        <w:rPr>
          <w:color w:val="auto"/>
          <w:sz w:val="22"/>
          <w:szCs w:val="22"/>
        </w:rPr>
      </w:pPr>
      <w:r w:rsidRPr="0093747F">
        <w:rPr>
          <w:b/>
          <w:color w:val="auto"/>
          <w:sz w:val="22"/>
          <w:szCs w:val="22"/>
        </w:rPr>
        <w:t xml:space="preserve">pojízdným prodejem </w:t>
      </w:r>
      <w:r w:rsidRPr="0093747F">
        <w:rPr>
          <w:bCs/>
          <w:color w:val="auto"/>
          <w:sz w:val="22"/>
          <w:szCs w:val="22"/>
        </w:rPr>
        <w:t>prodej zboží nebo poskytování služeb bez předchozí objednávky z pojízdných prodejních zařízení pojízdným způsobem mimo tržní místo; pojízdným prodejem není provozování dopravy nebo taxislužby,</w:t>
      </w:r>
      <w:r w:rsidRPr="0093747F">
        <w:rPr>
          <w:color w:val="auto"/>
          <w:sz w:val="22"/>
          <w:szCs w:val="22"/>
        </w:rPr>
        <w:t xml:space="preserve"> </w:t>
      </w:r>
    </w:p>
    <w:p w14:paraId="05147DD6" w14:textId="77777777" w:rsidR="00A05041" w:rsidRPr="00DB4EBF" w:rsidRDefault="00A05041" w:rsidP="00A05041">
      <w:pPr>
        <w:pStyle w:val="Default"/>
        <w:numPr>
          <w:ilvl w:val="0"/>
          <w:numId w:val="1"/>
        </w:numPr>
        <w:jc w:val="both"/>
        <w:rPr>
          <w:color w:val="auto"/>
          <w:sz w:val="22"/>
          <w:szCs w:val="22"/>
        </w:rPr>
      </w:pPr>
      <w:r w:rsidRPr="0093747F">
        <w:rPr>
          <w:b/>
          <w:color w:val="auto"/>
          <w:sz w:val="22"/>
          <w:szCs w:val="22"/>
        </w:rPr>
        <w:lastRenderedPageBreak/>
        <w:t>podomním prodejem</w:t>
      </w:r>
      <w:r w:rsidRPr="0093747F">
        <w:rPr>
          <w:color w:val="auto"/>
          <w:sz w:val="22"/>
          <w:szCs w:val="22"/>
        </w:rPr>
        <w:t xml:space="preserve"> všechny formy prodeje zboží nebo poskytování služeb bez předchozí objednávky, případně i pouhá nabídka zboží či služeb, které jsou</w:t>
      </w:r>
      <w:r w:rsidRPr="00E81973">
        <w:rPr>
          <w:color w:val="auto"/>
        </w:rPr>
        <w:t xml:space="preserve"> provozovány fyzickými </w:t>
      </w:r>
      <w:r w:rsidRPr="00DB4EBF">
        <w:rPr>
          <w:color w:val="auto"/>
          <w:sz w:val="22"/>
          <w:szCs w:val="22"/>
        </w:rPr>
        <w:t>osobami či zástupci právnických osob obchůzkou jednotlivých bytů, domů, jakož i objektů sloužících k rekreaci,</w:t>
      </w:r>
    </w:p>
    <w:p w14:paraId="7E2C309D" w14:textId="77777777" w:rsidR="00A05041" w:rsidRPr="00DB4EBF" w:rsidRDefault="00A05041" w:rsidP="00A05041">
      <w:pPr>
        <w:pStyle w:val="Default"/>
        <w:numPr>
          <w:ilvl w:val="0"/>
          <w:numId w:val="1"/>
        </w:numPr>
        <w:jc w:val="both"/>
        <w:rPr>
          <w:color w:val="auto"/>
          <w:sz w:val="22"/>
          <w:szCs w:val="22"/>
        </w:rPr>
      </w:pPr>
      <w:r w:rsidRPr="00DB4EBF">
        <w:rPr>
          <w:b/>
          <w:color w:val="auto"/>
          <w:sz w:val="22"/>
          <w:szCs w:val="22"/>
        </w:rPr>
        <w:t>pochůzkovým prodejem</w:t>
      </w:r>
      <w:r w:rsidRPr="00DB4EBF">
        <w:rPr>
          <w:color w:val="auto"/>
          <w:sz w:val="22"/>
          <w:szCs w:val="22"/>
        </w:rPr>
        <w:t xml:space="preserve"> prodej zboží nebo poskytování služeb mimo provozovnu formou pochůzky po veřejně přístupných místech včetně prodeje zboží nebo poskytování služeb z prodejního zařízení</w:t>
      </w:r>
      <w:r>
        <w:rPr>
          <w:color w:val="auto"/>
          <w:sz w:val="22"/>
          <w:szCs w:val="22"/>
        </w:rPr>
        <w:t xml:space="preserve">, </w:t>
      </w:r>
      <w:r w:rsidRPr="002A4B8F">
        <w:rPr>
          <w:color w:val="auto"/>
          <w:sz w:val="22"/>
          <w:szCs w:val="22"/>
        </w:rPr>
        <w:t>případně i pouhá nabídka zboží či služeb; pochůzko</w:t>
      </w:r>
      <w:r w:rsidRPr="00DB4EBF">
        <w:rPr>
          <w:color w:val="auto"/>
          <w:sz w:val="22"/>
          <w:szCs w:val="22"/>
        </w:rPr>
        <w:t>vým prodejem se rozumí i prodej zboží nebo poskytování služeb na jednotlivých zastávkách (stanovištích).</w:t>
      </w:r>
    </w:p>
    <w:p w14:paraId="0051E7E2" w14:textId="77777777" w:rsidR="00A05041" w:rsidRDefault="00A05041" w:rsidP="00A05041">
      <w:pPr>
        <w:pStyle w:val="Default"/>
        <w:spacing w:before="160"/>
        <w:rPr>
          <w:bCs/>
          <w:color w:val="auto"/>
        </w:rPr>
      </w:pPr>
    </w:p>
    <w:p w14:paraId="61396B7E" w14:textId="77777777" w:rsidR="00A05041" w:rsidRPr="00DB4368" w:rsidRDefault="00A05041" w:rsidP="00A05041">
      <w:pPr>
        <w:pStyle w:val="Default"/>
        <w:spacing w:before="160"/>
        <w:rPr>
          <w:bCs/>
          <w:color w:val="auto"/>
        </w:rPr>
      </w:pPr>
    </w:p>
    <w:p w14:paraId="72DDA8EC" w14:textId="77777777" w:rsidR="00A05041" w:rsidRPr="00DB4368" w:rsidRDefault="00A05041" w:rsidP="00A05041">
      <w:pPr>
        <w:pStyle w:val="Default"/>
        <w:tabs>
          <w:tab w:val="left" w:pos="0"/>
        </w:tabs>
        <w:spacing w:before="160"/>
        <w:jc w:val="center"/>
        <w:rPr>
          <w:b/>
          <w:bCs/>
          <w:color w:val="auto"/>
        </w:rPr>
      </w:pPr>
      <w:r w:rsidRPr="00DB4368">
        <w:rPr>
          <w:b/>
          <w:bCs/>
          <w:color w:val="auto"/>
        </w:rPr>
        <w:t>Článek 3</w:t>
      </w:r>
    </w:p>
    <w:p w14:paraId="3CA66064" w14:textId="77777777" w:rsidR="00A05041" w:rsidRPr="00DB4EBF" w:rsidRDefault="00A05041" w:rsidP="00A05041">
      <w:pPr>
        <w:pStyle w:val="Default"/>
        <w:jc w:val="center"/>
        <w:rPr>
          <w:b/>
          <w:bCs/>
          <w:color w:val="auto"/>
          <w:sz w:val="22"/>
          <w:szCs w:val="22"/>
        </w:rPr>
      </w:pPr>
      <w:r w:rsidRPr="00DB4EBF">
        <w:rPr>
          <w:b/>
          <w:bCs/>
          <w:color w:val="auto"/>
          <w:sz w:val="22"/>
          <w:szCs w:val="22"/>
        </w:rPr>
        <w:t xml:space="preserve">Vymezení tržišť, jejich rozdělení a stanovení kapacity a vybavenosti </w:t>
      </w:r>
    </w:p>
    <w:p w14:paraId="55CCC381" w14:textId="77777777" w:rsidR="00A05041" w:rsidRPr="00DB4EBF" w:rsidRDefault="00A05041" w:rsidP="00A05041">
      <w:pPr>
        <w:pStyle w:val="Odstavecseseznamem"/>
        <w:ind w:left="0"/>
        <w:rPr>
          <w:sz w:val="22"/>
          <w:szCs w:val="22"/>
        </w:rPr>
      </w:pPr>
      <w:r w:rsidRPr="00DB4EBF">
        <w:rPr>
          <w:sz w:val="22"/>
          <w:szCs w:val="22"/>
        </w:rPr>
        <w:t>(1) Podle druhu prodávaného zboží nebo poskytované služby se tržiště dělí takto:</w:t>
      </w:r>
    </w:p>
    <w:p w14:paraId="2B750A46" w14:textId="77777777" w:rsidR="00A05041" w:rsidRPr="00DB4EBF" w:rsidRDefault="00A05041" w:rsidP="00A05041">
      <w:pPr>
        <w:ind w:left="720"/>
        <w:contextualSpacing/>
        <w:rPr>
          <w:sz w:val="22"/>
          <w:szCs w:val="22"/>
        </w:rPr>
      </w:pPr>
    </w:p>
    <w:p w14:paraId="4417F42C" w14:textId="77777777" w:rsidR="00A05041" w:rsidRPr="00DB4EBF" w:rsidRDefault="00A05041" w:rsidP="00A05041">
      <w:pPr>
        <w:numPr>
          <w:ilvl w:val="0"/>
          <w:numId w:val="9"/>
        </w:numPr>
        <w:tabs>
          <w:tab w:val="left" w:pos="426"/>
        </w:tabs>
        <w:suppressAutoHyphens w:val="0"/>
        <w:spacing w:line="240" w:lineRule="auto"/>
        <w:contextualSpacing/>
        <w:rPr>
          <w:sz w:val="22"/>
          <w:szCs w:val="22"/>
        </w:rPr>
      </w:pPr>
      <w:r w:rsidRPr="00DB4EBF">
        <w:rPr>
          <w:sz w:val="22"/>
          <w:szCs w:val="22"/>
        </w:rPr>
        <w:t>tržiště, na kterém lze prodávat ovoce, zeleninu, med, ostatní potraviny, sazenice, věnce, kytice, květiny, kraslice, jmelí, chvojí, brašnářské výrobky, knihy, rukodělné výrobky (např. keramika, ozdobné předměty, proutěné zboží apod.) a farmářské výrobky. Jeho umístění, kapacita a vybavenost se stanovuje takto:</w:t>
      </w:r>
    </w:p>
    <w:p w14:paraId="65FF2688" w14:textId="77777777" w:rsidR="00A05041" w:rsidRPr="00DB4368" w:rsidRDefault="00A05041" w:rsidP="00A05041">
      <w:pPr>
        <w:ind w:left="1200"/>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550"/>
        <w:gridCol w:w="2646"/>
      </w:tblGrid>
      <w:tr w:rsidR="00A05041" w:rsidRPr="00DB4EBF" w14:paraId="3958A03F" w14:textId="77777777" w:rsidTr="000371C0">
        <w:tc>
          <w:tcPr>
            <w:tcW w:w="3020" w:type="dxa"/>
            <w:shd w:val="clear" w:color="auto" w:fill="auto"/>
          </w:tcPr>
          <w:p w14:paraId="0876147D" w14:textId="77777777" w:rsidR="00A05041" w:rsidRPr="00DB4EBF" w:rsidRDefault="00A05041" w:rsidP="000371C0">
            <w:pPr>
              <w:jc w:val="center"/>
              <w:rPr>
                <w:rFonts w:eastAsia="Calibri"/>
                <w:b/>
                <w:sz w:val="20"/>
              </w:rPr>
            </w:pPr>
            <w:r w:rsidRPr="00DB4EBF">
              <w:rPr>
                <w:rFonts w:eastAsia="Calibri"/>
                <w:b/>
                <w:sz w:val="20"/>
              </w:rPr>
              <w:t>Lokalita</w:t>
            </w:r>
          </w:p>
        </w:tc>
        <w:tc>
          <w:tcPr>
            <w:tcW w:w="2550" w:type="dxa"/>
            <w:shd w:val="clear" w:color="auto" w:fill="auto"/>
          </w:tcPr>
          <w:p w14:paraId="34FCB429" w14:textId="77777777" w:rsidR="00A05041" w:rsidRPr="00DB4EBF" w:rsidRDefault="00A05041" w:rsidP="000371C0">
            <w:pPr>
              <w:jc w:val="center"/>
              <w:rPr>
                <w:rFonts w:eastAsia="Calibri"/>
                <w:b/>
                <w:sz w:val="20"/>
              </w:rPr>
            </w:pPr>
            <w:r w:rsidRPr="00DB4EBF">
              <w:rPr>
                <w:rFonts w:eastAsia="Calibri"/>
                <w:b/>
                <w:sz w:val="20"/>
              </w:rPr>
              <w:t>Kapacita tržních míst</w:t>
            </w:r>
          </w:p>
        </w:tc>
        <w:tc>
          <w:tcPr>
            <w:tcW w:w="2646" w:type="dxa"/>
            <w:shd w:val="clear" w:color="auto" w:fill="auto"/>
          </w:tcPr>
          <w:p w14:paraId="5D985DF0" w14:textId="77777777" w:rsidR="00A05041" w:rsidRPr="00DB4EBF" w:rsidRDefault="00A05041" w:rsidP="000371C0">
            <w:pPr>
              <w:jc w:val="center"/>
              <w:rPr>
                <w:rFonts w:eastAsia="Calibri"/>
                <w:b/>
                <w:sz w:val="20"/>
              </w:rPr>
            </w:pPr>
            <w:r w:rsidRPr="00DB4EBF">
              <w:rPr>
                <w:rFonts w:eastAsia="Calibri"/>
                <w:b/>
                <w:sz w:val="20"/>
              </w:rPr>
              <w:t>Vybavenost</w:t>
            </w:r>
          </w:p>
        </w:tc>
      </w:tr>
      <w:tr w:rsidR="00A05041" w:rsidRPr="00DB4EBF" w14:paraId="2A28B30A" w14:textId="77777777" w:rsidTr="000371C0">
        <w:tc>
          <w:tcPr>
            <w:tcW w:w="3020" w:type="dxa"/>
            <w:shd w:val="clear" w:color="auto" w:fill="auto"/>
          </w:tcPr>
          <w:p w14:paraId="1808657C" w14:textId="77777777" w:rsidR="00A05041" w:rsidRPr="00DB4EBF" w:rsidRDefault="00A05041" w:rsidP="000371C0">
            <w:pPr>
              <w:rPr>
                <w:rFonts w:eastAsia="Calibri"/>
                <w:sz w:val="20"/>
              </w:rPr>
            </w:pPr>
            <w:r w:rsidRPr="00DB4EBF">
              <w:rPr>
                <w:rFonts w:eastAsia="Calibri"/>
                <w:sz w:val="20"/>
              </w:rPr>
              <w:t>ul. Komenského</w:t>
            </w:r>
          </w:p>
        </w:tc>
        <w:tc>
          <w:tcPr>
            <w:tcW w:w="2550" w:type="dxa"/>
            <w:shd w:val="clear" w:color="auto" w:fill="auto"/>
          </w:tcPr>
          <w:p w14:paraId="1529FC4C" w14:textId="77777777" w:rsidR="00A05041" w:rsidRPr="00DB4EBF" w:rsidRDefault="00A05041" w:rsidP="000371C0">
            <w:pPr>
              <w:jc w:val="center"/>
              <w:rPr>
                <w:rFonts w:eastAsia="Calibri"/>
                <w:sz w:val="20"/>
              </w:rPr>
            </w:pPr>
            <w:r w:rsidRPr="00DB4EBF">
              <w:rPr>
                <w:rFonts w:eastAsia="Calibri"/>
                <w:sz w:val="20"/>
              </w:rPr>
              <w:t>4</w:t>
            </w:r>
          </w:p>
        </w:tc>
        <w:tc>
          <w:tcPr>
            <w:tcW w:w="2646" w:type="dxa"/>
            <w:shd w:val="clear" w:color="auto" w:fill="auto"/>
          </w:tcPr>
          <w:p w14:paraId="06C0B692" w14:textId="77777777" w:rsidR="00A05041" w:rsidRPr="00DB4EBF" w:rsidRDefault="00A05041" w:rsidP="000371C0">
            <w:pPr>
              <w:jc w:val="center"/>
              <w:rPr>
                <w:rFonts w:eastAsia="Calibri"/>
                <w:sz w:val="20"/>
              </w:rPr>
            </w:pPr>
            <w:r w:rsidRPr="00DB4EBF">
              <w:rPr>
                <w:rFonts w:eastAsia="Calibri"/>
                <w:sz w:val="20"/>
              </w:rPr>
              <w:t>---</w:t>
            </w:r>
          </w:p>
        </w:tc>
      </w:tr>
    </w:tbl>
    <w:p w14:paraId="766962B7" w14:textId="77777777" w:rsidR="00A05041" w:rsidRDefault="00A05041" w:rsidP="00A05041">
      <w:pPr>
        <w:ind w:left="1200"/>
        <w:jc w:val="right"/>
        <w:rPr>
          <w:sz w:val="20"/>
        </w:rPr>
      </w:pPr>
      <w:r w:rsidRPr="00DB4EBF">
        <w:rPr>
          <w:sz w:val="20"/>
        </w:rPr>
        <w:t>Tabulka č. 1</w:t>
      </w:r>
    </w:p>
    <w:p w14:paraId="43FD0FC0" w14:textId="77777777" w:rsidR="00A05041" w:rsidRPr="000709CA" w:rsidRDefault="00A05041" w:rsidP="00A05041">
      <w:pPr>
        <w:ind w:left="1200"/>
        <w:jc w:val="right"/>
        <w:rPr>
          <w:sz w:val="20"/>
        </w:rPr>
      </w:pPr>
    </w:p>
    <w:p w14:paraId="5E520999" w14:textId="77777777" w:rsidR="00A05041" w:rsidRPr="00721383" w:rsidRDefault="00A05041" w:rsidP="00A05041">
      <w:pPr>
        <w:numPr>
          <w:ilvl w:val="0"/>
          <w:numId w:val="9"/>
        </w:numPr>
        <w:suppressAutoHyphens w:val="0"/>
        <w:spacing w:line="240" w:lineRule="auto"/>
        <w:contextualSpacing/>
        <w:rPr>
          <w:sz w:val="22"/>
          <w:szCs w:val="22"/>
        </w:rPr>
      </w:pPr>
      <w:r w:rsidRPr="00721383">
        <w:rPr>
          <w:sz w:val="22"/>
          <w:szCs w:val="22"/>
        </w:rPr>
        <w:t>tržiště, na kterých lze prodávat ovoce, zeleninu, med, ostatní potraviny, knihy, hračky, kuchyňské zboží, rukodělné výrobky (např. keramika, ozdobné předměty, proutěné zboží apod.), brašnářské výrobky, sazenice, věnce, kytice, květiny, kraslice, jmelí, chvojí, textil, oděvy, obuv, hodinky, brýle, drogistické zboží a poskytovat tyto služby – broušení nožů, nůžek a nářadí, opravy obuvi a brašnářského zboží, opravy deštníků, opravy sportovního nářadí. Jejich umístění, kapacita a vybavenost se stanovuje takto:</w:t>
      </w:r>
    </w:p>
    <w:p w14:paraId="0C470C0D" w14:textId="77777777" w:rsidR="00A05041" w:rsidRPr="00E81973" w:rsidRDefault="00A05041" w:rsidP="00A05041">
      <w:pPr>
        <w:ind w:left="1200"/>
        <w:rPr>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590"/>
        <w:gridCol w:w="2677"/>
      </w:tblGrid>
      <w:tr w:rsidR="00A05041" w:rsidRPr="00E81973" w14:paraId="7EB0B205" w14:textId="77777777" w:rsidTr="000371C0">
        <w:tc>
          <w:tcPr>
            <w:tcW w:w="2949" w:type="dxa"/>
            <w:shd w:val="clear" w:color="auto" w:fill="auto"/>
          </w:tcPr>
          <w:p w14:paraId="1CA5FD8E" w14:textId="77777777" w:rsidR="00A05041" w:rsidRPr="00721383" w:rsidRDefault="00A05041" w:rsidP="000371C0">
            <w:pPr>
              <w:jc w:val="center"/>
              <w:rPr>
                <w:rFonts w:eastAsia="Calibri"/>
                <w:b/>
                <w:sz w:val="20"/>
              </w:rPr>
            </w:pPr>
            <w:r w:rsidRPr="00721383">
              <w:rPr>
                <w:rFonts w:eastAsia="Calibri"/>
                <w:b/>
                <w:sz w:val="20"/>
              </w:rPr>
              <w:t>Lokalita</w:t>
            </w:r>
          </w:p>
        </w:tc>
        <w:tc>
          <w:tcPr>
            <w:tcW w:w="2590" w:type="dxa"/>
            <w:shd w:val="clear" w:color="auto" w:fill="auto"/>
          </w:tcPr>
          <w:p w14:paraId="26FCF838" w14:textId="77777777" w:rsidR="00A05041" w:rsidRPr="00721383" w:rsidRDefault="00A05041" w:rsidP="000371C0">
            <w:pPr>
              <w:jc w:val="center"/>
              <w:rPr>
                <w:rFonts w:eastAsia="Calibri"/>
                <w:b/>
                <w:sz w:val="20"/>
              </w:rPr>
            </w:pPr>
            <w:r w:rsidRPr="00721383">
              <w:rPr>
                <w:rFonts w:eastAsia="Calibri"/>
                <w:b/>
                <w:sz w:val="20"/>
              </w:rPr>
              <w:t>Kapacita tržních míst</w:t>
            </w:r>
          </w:p>
        </w:tc>
        <w:tc>
          <w:tcPr>
            <w:tcW w:w="2677" w:type="dxa"/>
            <w:shd w:val="clear" w:color="auto" w:fill="auto"/>
          </w:tcPr>
          <w:p w14:paraId="51CB48B2" w14:textId="77777777" w:rsidR="00A05041" w:rsidRPr="00721383" w:rsidRDefault="00A05041" w:rsidP="000371C0">
            <w:pPr>
              <w:jc w:val="center"/>
              <w:rPr>
                <w:rFonts w:eastAsia="Calibri"/>
                <w:b/>
                <w:sz w:val="20"/>
              </w:rPr>
            </w:pPr>
            <w:r w:rsidRPr="00721383">
              <w:rPr>
                <w:rFonts w:eastAsia="Calibri"/>
                <w:b/>
                <w:sz w:val="20"/>
              </w:rPr>
              <w:t>Vybavenost</w:t>
            </w:r>
          </w:p>
        </w:tc>
      </w:tr>
      <w:tr w:rsidR="00A05041" w:rsidRPr="00E81973" w14:paraId="7336A13F" w14:textId="77777777" w:rsidTr="000371C0">
        <w:tc>
          <w:tcPr>
            <w:tcW w:w="2949" w:type="dxa"/>
            <w:shd w:val="clear" w:color="auto" w:fill="auto"/>
          </w:tcPr>
          <w:p w14:paraId="5BAA7675" w14:textId="77777777" w:rsidR="00A05041" w:rsidRPr="00721383" w:rsidRDefault="00A05041" w:rsidP="000371C0">
            <w:pPr>
              <w:rPr>
                <w:rFonts w:eastAsia="Calibri"/>
                <w:sz w:val="20"/>
              </w:rPr>
            </w:pPr>
            <w:r w:rsidRPr="00721383">
              <w:rPr>
                <w:rFonts w:eastAsia="Calibri"/>
                <w:sz w:val="20"/>
              </w:rPr>
              <w:t>ul. Velká Dlážka</w:t>
            </w:r>
          </w:p>
        </w:tc>
        <w:tc>
          <w:tcPr>
            <w:tcW w:w="2590" w:type="dxa"/>
            <w:shd w:val="clear" w:color="auto" w:fill="auto"/>
          </w:tcPr>
          <w:p w14:paraId="358F3E19" w14:textId="77777777" w:rsidR="00A05041" w:rsidRPr="00721383" w:rsidRDefault="00A05041" w:rsidP="000371C0">
            <w:pPr>
              <w:jc w:val="center"/>
              <w:rPr>
                <w:rFonts w:eastAsia="Calibri"/>
                <w:sz w:val="20"/>
              </w:rPr>
            </w:pPr>
            <w:r w:rsidRPr="00721383">
              <w:rPr>
                <w:rFonts w:eastAsia="Calibri"/>
                <w:sz w:val="20"/>
              </w:rPr>
              <w:t>4</w:t>
            </w:r>
          </w:p>
        </w:tc>
        <w:tc>
          <w:tcPr>
            <w:tcW w:w="2677" w:type="dxa"/>
            <w:shd w:val="clear" w:color="auto" w:fill="auto"/>
          </w:tcPr>
          <w:p w14:paraId="534E0585" w14:textId="77777777" w:rsidR="00A05041" w:rsidRPr="00721383" w:rsidRDefault="00A05041" w:rsidP="000371C0">
            <w:pPr>
              <w:jc w:val="center"/>
              <w:rPr>
                <w:rFonts w:eastAsia="Calibri"/>
                <w:sz w:val="20"/>
              </w:rPr>
            </w:pPr>
            <w:r w:rsidRPr="00721383">
              <w:rPr>
                <w:rFonts w:eastAsia="Calibri"/>
                <w:sz w:val="20"/>
              </w:rPr>
              <w:t>4 stánky provozovatele</w:t>
            </w:r>
          </w:p>
        </w:tc>
      </w:tr>
      <w:tr w:rsidR="00A05041" w:rsidRPr="00E81973" w14:paraId="48EE1FFD" w14:textId="77777777" w:rsidTr="000371C0">
        <w:tc>
          <w:tcPr>
            <w:tcW w:w="2949" w:type="dxa"/>
            <w:shd w:val="clear" w:color="auto" w:fill="auto"/>
          </w:tcPr>
          <w:p w14:paraId="11D4D73D" w14:textId="77777777" w:rsidR="00A05041" w:rsidRPr="00721383" w:rsidRDefault="00A05041" w:rsidP="000371C0">
            <w:pPr>
              <w:rPr>
                <w:rFonts w:eastAsia="Calibri"/>
                <w:sz w:val="20"/>
              </w:rPr>
            </w:pPr>
            <w:r w:rsidRPr="00721383">
              <w:rPr>
                <w:rFonts w:eastAsia="Calibri"/>
                <w:sz w:val="20"/>
              </w:rPr>
              <w:t>ul. Trávník</w:t>
            </w:r>
          </w:p>
        </w:tc>
        <w:tc>
          <w:tcPr>
            <w:tcW w:w="2590" w:type="dxa"/>
            <w:shd w:val="clear" w:color="auto" w:fill="auto"/>
          </w:tcPr>
          <w:p w14:paraId="2D52019F" w14:textId="77777777" w:rsidR="00A05041" w:rsidRPr="00721383" w:rsidRDefault="00A05041" w:rsidP="000371C0">
            <w:pPr>
              <w:jc w:val="center"/>
              <w:rPr>
                <w:rFonts w:eastAsia="Calibri"/>
                <w:sz w:val="20"/>
              </w:rPr>
            </w:pPr>
            <w:r w:rsidRPr="00721383">
              <w:rPr>
                <w:rFonts w:eastAsia="Calibri"/>
                <w:sz w:val="20"/>
              </w:rPr>
              <w:t>4</w:t>
            </w:r>
          </w:p>
        </w:tc>
        <w:tc>
          <w:tcPr>
            <w:tcW w:w="2677" w:type="dxa"/>
            <w:shd w:val="clear" w:color="auto" w:fill="auto"/>
          </w:tcPr>
          <w:p w14:paraId="3E150F06" w14:textId="77777777" w:rsidR="00A05041" w:rsidRPr="00721383" w:rsidRDefault="00A05041" w:rsidP="000371C0">
            <w:pPr>
              <w:jc w:val="center"/>
              <w:rPr>
                <w:rFonts w:eastAsia="Calibri"/>
                <w:sz w:val="20"/>
              </w:rPr>
            </w:pPr>
            <w:r w:rsidRPr="00721383">
              <w:rPr>
                <w:rFonts w:eastAsia="Calibri"/>
                <w:sz w:val="20"/>
              </w:rPr>
              <w:t>1 stánek provozovatele</w:t>
            </w:r>
          </w:p>
        </w:tc>
      </w:tr>
      <w:tr w:rsidR="00A05041" w:rsidRPr="00E81973" w14:paraId="48E028ED" w14:textId="77777777" w:rsidTr="000371C0">
        <w:tc>
          <w:tcPr>
            <w:tcW w:w="2949" w:type="dxa"/>
            <w:shd w:val="clear" w:color="auto" w:fill="auto"/>
          </w:tcPr>
          <w:p w14:paraId="724DF956" w14:textId="77777777" w:rsidR="00A05041" w:rsidRPr="00721383" w:rsidRDefault="00A05041" w:rsidP="000371C0">
            <w:pPr>
              <w:rPr>
                <w:rFonts w:eastAsia="Calibri"/>
                <w:sz w:val="20"/>
              </w:rPr>
            </w:pPr>
            <w:r w:rsidRPr="00721383">
              <w:rPr>
                <w:rFonts w:eastAsia="Calibri"/>
                <w:sz w:val="20"/>
              </w:rPr>
              <w:t>nám. Přerovského povstání</w:t>
            </w:r>
          </w:p>
        </w:tc>
        <w:tc>
          <w:tcPr>
            <w:tcW w:w="2590" w:type="dxa"/>
            <w:shd w:val="clear" w:color="auto" w:fill="auto"/>
          </w:tcPr>
          <w:p w14:paraId="34633C92" w14:textId="77777777" w:rsidR="00A05041" w:rsidRPr="00721383" w:rsidRDefault="00A05041" w:rsidP="000371C0">
            <w:pPr>
              <w:jc w:val="center"/>
              <w:rPr>
                <w:rFonts w:eastAsia="Calibri"/>
                <w:sz w:val="20"/>
              </w:rPr>
            </w:pPr>
            <w:r w:rsidRPr="00721383">
              <w:rPr>
                <w:rFonts w:eastAsia="Calibri"/>
                <w:sz w:val="20"/>
              </w:rPr>
              <w:t>8</w:t>
            </w:r>
          </w:p>
        </w:tc>
        <w:tc>
          <w:tcPr>
            <w:tcW w:w="2677" w:type="dxa"/>
            <w:shd w:val="clear" w:color="auto" w:fill="auto"/>
          </w:tcPr>
          <w:p w14:paraId="5E178F45" w14:textId="77777777" w:rsidR="00A05041" w:rsidRPr="00721383" w:rsidRDefault="00A05041" w:rsidP="000371C0">
            <w:pPr>
              <w:jc w:val="center"/>
              <w:rPr>
                <w:rFonts w:eastAsia="Calibri"/>
                <w:sz w:val="20"/>
              </w:rPr>
            </w:pPr>
            <w:r w:rsidRPr="00721383">
              <w:rPr>
                <w:rFonts w:eastAsia="Calibri"/>
                <w:sz w:val="20"/>
              </w:rPr>
              <w:t>6 stánků provozovatele</w:t>
            </w:r>
          </w:p>
        </w:tc>
      </w:tr>
      <w:tr w:rsidR="00A05041" w:rsidRPr="00E81973" w14:paraId="3ADC54D4" w14:textId="77777777" w:rsidTr="000371C0">
        <w:tc>
          <w:tcPr>
            <w:tcW w:w="2949" w:type="dxa"/>
            <w:shd w:val="clear" w:color="auto" w:fill="auto"/>
          </w:tcPr>
          <w:p w14:paraId="5A8EE449" w14:textId="77777777" w:rsidR="00A05041" w:rsidRPr="00721383" w:rsidRDefault="00A05041" w:rsidP="000371C0">
            <w:pPr>
              <w:rPr>
                <w:rFonts w:eastAsia="Calibri"/>
                <w:sz w:val="20"/>
              </w:rPr>
            </w:pPr>
            <w:r w:rsidRPr="00721383">
              <w:rPr>
                <w:rFonts w:eastAsia="Calibri"/>
                <w:sz w:val="20"/>
              </w:rPr>
              <w:t>OD Kaufland</w:t>
            </w:r>
          </w:p>
        </w:tc>
        <w:tc>
          <w:tcPr>
            <w:tcW w:w="2590" w:type="dxa"/>
            <w:shd w:val="clear" w:color="auto" w:fill="auto"/>
          </w:tcPr>
          <w:p w14:paraId="36D8BCB5" w14:textId="77777777" w:rsidR="00A05041" w:rsidRPr="00721383" w:rsidRDefault="00A05041" w:rsidP="000371C0">
            <w:pPr>
              <w:jc w:val="center"/>
              <w:rPr>
                <w:rFonts w:eastAsia="Calibri"/>
                <w:sz w:val="20"/>
              </w:rPr>
            </w:pPr>
            <w:r w:rsidRPr="00721383">
              <w:rPr>
                <w:rFonts w:eastAsia="Calibri"/>
                <w:sz w:val="20"/>
              </w:rPr>
              <w:t>4</w:t>
            </w:r>
          </w:p>
        </w:tc>
        <w:tc>
          <w:tcPr>
            <w:tcW w:w="2677" w:type="dxa"/>
            <w:shd w:val="clear" w:color="auto" w:fill="auto"/>
          </w:tcPr>
          <w:p w14:paraId="33CC2CB8" w14:textId="77777777" w:rsidR="00A05041" w:rsidRPr="00721383" w:rsidRDefault="00A05041" w:rsidP="000371C0">
            <w:pPr>
              <w:jc w:val="center"/>
              <w:rPr>
                <w:rFonts w:eastAsia="Calibri"/>
                <w:sz w:val="20"/>
              </w:rPr>
            </w:pPr>
            <w:r w:rsidRPr="00721383">
              <w:rPr>
                <w:rFonts w:eastAsia="Calibri"/>
                <w:sz w:val="20"/>
              </w:rPr>
              <w:t>2 stánky provozovatele</w:t>
            </w:r>
          </w:p>
        </w:tc>
      </w:tr>
    </w:tbl>
    <w:p w14:paraId="31AF1585" w14:textId="77777777" w:rsidR="00A05041" w:rsidRDefault="00A05041" w:rsidP="00A05041">
      <w:pPr>
        <w:ind w:left="1200"/>
        <w:jc w:val="right"/>
        <w:rPr>
          <w:sz w:val="20"/>
        </w:rPr>
      </w:pPr>
      <w:r w:rsidRPr="00E81973">
        <w:rPr>
          <w:sz w:val="20"/>
        </w:rPr>
        <w:t>Tabulka č. 2</w:t>
      </w:r>
    </w:p>
    <w:p w14:paraId="24D95441" w14:textId="77777777" w:rsidR="00A05041" w:rsidRPr="00E81973" w:rsidRDefault="00A05041" w:rsidP="00A05041">
      <w:pPr>
        <w:ind w:left="1200"/>
        <w:jc w:val="right"/>
        <w:rPr>
          <w:sz w:val="20"/>
        </w:rPr>
      </w:pPr>
    </w:p>
    <w:p w14:paraId="4081F949" w14:textId="77777777" w:rsidR="00A05041" w:rsidRPr="006C4FA5" w:rsidRDefault="00A05041" w:rsidP="00A05041">
      <w:pPr>
        <w:numPr>
          <w:ilvl w:val="0"/>
          <w:numId w:val="9"/>
        </w:numPr>
        <w:suppressAutoHyphens w:val="0"/>
        <w:autoSpaceDE w:val="0"/>
        <w:autoSpaceDN w:val="0"/>
        <w:adjustRightInd w:val="0"/>
        <w:spacing w:line="240" w:lineRule="auto"/>
        <w:rPr>
          <w:sz w:val="22"/>
          <w:szCs w:val="22"/>
        </w:rPr>
      </w:pPr>
      <w:r w:rsidRPr="006C4FA5">
        <w:rPr>
          <w:sz w:val="22"/>
          <w:szCs w:val="22"/>
        </w:rPr>
        <w:t>tržiště, na kterých lze prodávat ovoce, zeleninu, med, ostatní potraviny, sazenice, věnce, kytice, květiny, kraslice, jmelí, chvojí, brašnářské výrobky, knihy, hračky, kuchyňské zboží, rukodělné výrobky (např. keramika, ozdobné předměty, proutěné zboží apod.), a poskytovat tyto služby – broušení nožů, nůžek a nářadí, opravy obuvi a brašnářského zboží, opravy deštníků, opravy sportovního nářadí. Jejich umístění, kapacita a vybavenost se stanovuje takto:</w:t>
      </w:r>
    </w:p>
    <w:p w14:paraId="55453DC9" w14:textId="77777777" w:rsidR="00A05041" w:rsidRPr="00E81973" w:rsidRDefault="00A05041" w:rsidP="00A05041">
      <w:pPr>
        <w:autoSpaceDE w:val="0"/>
        <w:autoSpaceDN w:val="0"/>
        <w:adjustRightInd w:val="0"/>
        <w:ind w:left="1134"/>
        <w:rPr>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379"/>
        <w:gridCol w:w="2685"/>
      </w:tblGrid>
      <w:tr w:rsidR="00A05041" w:rsidRPr="006C4FA5" w14:paraId="48A96222" w14:textId="77777777" w:rsidTr="000371C0">
        <w:tc>
          <w:tcPr>
            <w:tcW w:w="3152" w:type="dxa"/>
            <w:shd w:val="clear" w:color="auto" w:fill="auto"/>
          </w:tcPr>
          <w:p w14:paraId="5C6020CF" w14:textId="77777777" w:rsidR="00A05041" w:rsidRPr="006C4FA5" w:rsidRDefault="00A05041" w:rsidP="000371C0">
            <w:pPr>
              <w:jc w:val="center"/>
              <w:rPr>
                <w:rFonts w:eastAsia="Calibri"/>
                <w:b/>
                <w:sz w:val="20"/>
              </w:rPr>
            </w:pPr>
            <w:r w:rsidRPr="006C4FA5">
              <w:rPr>
                <w:rFonts w:eastAsia="Calibri"/>
                <w:b/>
                <w:sz w:val="20"/>
              </w:rPr>
              <w:t>Lokalita</w:t>
            </w:r>
          </w:p>
        </w:tc>
        <w:tc>
          <w:tcPr>
            <w:tcW w:w="2379" w:type="dxa"/>
            <w:shd w:val="clear" w:color="auto" w:fill="auto"/>
          </w:tcPr>
          <w:p w14:paraId="6ED78867" w14:textId="77777777" w:rsidR="00A05041" w:rsidRPr="006C4FA5" w:rsidRDefault="00A05041" w:rsidP="000371C0">
            <w:pPr>
              <w:jc w:val="center"/>
              <w:rPr>
                <w:rFonts w:eastAsia="Calibri"/>
                <w:b/>
                <w:sz w:val="20"/>
              </w:rPr>
            </w:pPr>
            <w:r w:rsidRPr="006C4FA5">
              <w:rPr>
                <w:rFonts w:eastAsia="Calibri"/>
                <w:b/>
                <w:sz w:val="20"/>
              </w:rPr>
              <w:t>Kapacita tržních míst</w:t>
            </w:r>
          </w:p>
        </w:tc>
        <w:tc>
          <w:tcPr>
            <w:tcW w:w="2685" w:type="dxa"/>
            <w:shd w:val="clear" w:color="auto" w:fill="auto"/>
          </w:tcPr>
          <w:p w14:paraId="5D98C423" w14:textId="77777777" w:rsidR="00A05041" w:rsidRPr="006C4FA5" w:rsidRDefault="00A05041" w:rsidP="000371C0">
            <w:pPr>
              <w:jc w:val="center"/>
              <w:rPr>
                <w:rFonts w:eastAsia="Calibri"/>
                <w:b/>
                <w:sz w:val="20"/>
              </w:rPr>
            </w:pPr>
            <w:r w:rsidRPr="006C4FA5">
              <w:rPr>
                <w:rFonts w:eastAsia="Calibri"/>
                <w:b/>
                <w:sz w:val="20"/>
              </w:rPr>
              <w:t>Vybavenost</w:t>
            </w:r>
          </w:p>
        </w:tc>
      </w:tr>
      <w:tr w:rsidR="00A05041" w:rsidRPr="006C4FA5" w14:paraId="2E0B3AE6" w14:textId="77777777" w:rsidTr="000371C0">
        <w:tc>
          <w:tcPr>
            <w:tcW w:w="3152" w:type="dxa"/>
            <w:shd w:val="clear" w:color="auto" w:fill="auto"/>
          </w:tcPr>
          <w:p w14:paraId="25269004" w14:textId="77777777" w:rsidR="00A05041" w:rsidRPr="006C4FA5" w:rsidRDefault="00A05041" w:rsidP="000371C0">
            <w:pPr>
              <w:rPr>
                <w:rFonts w:eastAsia="Calibri"/>
                <w:sz w:val="20"/>
              </w:rPr>
            </w:pPr>
            <w:r w:rsidRPr="006C4FA5">
              <w:rPr>
                <w:rFonts w:eastAsia="Calibri"/>
                <w:sz w:val="20"/>
              </w:rPr>
              <w:t>Žerotínovo náměstí</w:t>
            </w:r>
          </w:p>
        </w:tc>
        <w:tc>
          <w:tcPr>
            <w:tcW w:w="2379" w:type="dxa"/>
            <w:shd w:val="clear" w:color="auto" w:fill="auto"/>
          </w:tcPr>
          <w:p w14:paraId="536F9EE0" w14:textId="77777777" w:rsidR="00A05041" w:rsidRPr="006C4FA5" w:rsidRDefault="00A05041" w:rsidP="000371C0">
            <w:pPr>
              <w:jc w:val="center"/>
              <w:rPr>
                <w:rFonts w:eastAsia="Calibri"/>
                <w:sz w:val="20"/>
              </w:rPr>
            </w:pPr>
            <w:r w:rsidRPr="006C4FA5">
              <w:rPr>
                <w:rFonts w:eastAsia="Calibri"/>
                <w:sz w:val="20"/>
              </w:rPr>
              <w:t>8</w:t>
            </w:r>
          </w:p>
        </w:tc>
        <w:tc>
          <w:tcPr>
            <w:tcW w:w="2685" w:type="dxa"/>
            <w:shd w:val="clear" w:color="auto" w:fill="auto"/>
          </w:tcPr>
          <w:p w14:paraId="7C2EE4C4" w14:textId="77777777" w:rsidR="00A05041" w:rsidRPr="006C4FA5" w:rsidRDefault="00A05041" w:rsidP="000371C0">
            <w:pPr>
              <w:jc w:val="center"/>
              <w:rPr>
                <w:rFonts w:eastAsia="Calibri"/>
                <w:sz w:val="20"/>
              </w:rPr>
            </w:pPr>
            <w:r w:rsidRPr="006C4FA5">
              <w:rPr>
                <w:rFonts w:eastAsia="Calibri"/>
                <w:sz w:val="20"/>
              </w:rPr>
              <w:t>8 stánků provozovatele</w:t>
            </w:r>
          </w:p>
        </w:tc>
      </w:tr>
      <w:tr w:rsidR="00A05041" w:rsidRPr="006C4FA5" w14:paraId="344E4F73" w14:textId="77777777" w:rsidTr="000371C0">
        <w:tc>
          <w:tcPr>
            <w:tcW w:w="3152" w:type="dxa"/>
            <w:shd w:val="clear" w:color="auto" w:fill="auto"/>
          </w:tcPr>
          <w:p w14:paraId="7FDF6198" w14:textId="77777777" w:rsidR="00A05041" w:rsidRPr="006C4FA5" w:rsidRDefault="00A05041" w:rsidP="000371C0">
            <w:pPr>
              <w:rPr>
                <w:rFonts w:eastAsia="Calibri"/>
                <w:sz w:val="20"/>
              </w:rPr>
            </w:pPr>
            <w:r w:rsidRPr="006C4FA5">
              <w:rPr>
                <w:rFonts w:eastAsia="Calibri"/>
                <w:sz w:val="20"/>
              </w:rPr>
              <w:t xml:space="preserve">ul. Vaňkova </w:t>
            </w:r>
          </w:p>
        </w:tc>
        <w:tc>
          <w:tcPr>
            <w:tcW w:w="2379" w:type="dxa"/>
            <w:shd w:val="clear" w:color="auto" w:fill="auto"/>
          </w:tcPr>
          <w:p w14:paraId="37AFEE78" w14:textId="77777777" w:rsidR="00A05041" w:rsidRPr="006C4FA5" w:rsidRDefault="00A05041" w:rsidP="000371C0">
            <w:pPr>
              <w:jc w:val="center"/>
              <w:rPr>
                <w:rFonts w:eastAsia="Calibri"/>
                <w:sz w:val="20"/>
              </w:rPr>
            </w:pPr>
            <w:r w:rsidRPr="006C4FA5">
              <w:rPr>
                <w:rFonts w:eastAsia="Calibri"/>
                <w:sz w:val="20"/>
              </w:rPr>
              <w:t>6</w:t>
            </w:r>
          </w:p>
        </w:tc>
        <w:tc>
          <w:tcPr>
            <w:tcW w:w="2685" w:type="dxa"/>
            <w:shd w:val="clear" w:color="auto" w:fill="auto"/>
          </w:tcPr>
          <w:p w14:paraId="735C3AF2" w14:textId="77777777" w:rsidR="00A05041" w:rsidRPr="006C4FA5" w:rsidRDefault="00A05041" w:rsidP="000371C0">
            <w:pPr>
              <w:jc w:val="center"/>
              <w:rPr>
                <w:rFonts w:eastAsia="Calibri"/>
                <w:sz w:val="20"/>
              </w:rPr>
            </w:pPr>
            <w:r w:rsidRPr="006C4FA5">
              <w:rPr>
                <w:rFonts w:eastAsia="Calibri"/>
                <w:sz w:val="20"/>
              </w:rPr>
              <w:t>1 stánek provozovatele</w:t>
            </w:r>
          </w:p>
        </w:tc>
      </w:tr>
      <w:tr w:rsidR="00A05041" w:rsidRPr="006C4FA5" w14:paraId="345C6FC2" w14:textId="77777777" w:rsidTr="000371C0">
        <w:tc>
          <w:tcPr>
            <w:tcW w:w="3152" w:type="dxa"/>
            <w:shd w:val="clear" w:color="auto" w:fill="auto"/>
          </w:tcPr>
          <w:p w14:paraId="3B4ABA3B" w14:textId="77777777" w:rsidR="00A05041" w:rsidRPr="006C4FA5" w:rsidRDefault="00A05041" w:rsidP="000371C0">
            <w:pPr>
              <w:rPr>
                <w:rFonts w:eastAsia="Calibri"/>
                <w:sz w:val="20"/>
              </w:rPr>
            </w:pPr>
            <w:r w:rsidRPr="006C4FA5">
              <w:rPr>
                <w:rFonts w:eastAsia="Calibri"/>
                <w:sz w:val="20"/>
              </w:rPr>
              <w:t>Přerov II-Předmostí (ul. Hranická, ul. Dr. Milady Horákové)</w:t>
            </w:r>
          </w:p>
        </w:tc>
        <w:tc>
          <w:tcPr>
            <w:tcW w:w="2379" w:type="dxa"/>
            <w:shd w:val="clear" w:color="auto" w:fill="auto"/>
            <w:vAlign w:val="center"/>
          </w:tcPr>
          <w:p w14:paraId="3CD73FE7" w14:textId="77777777" w:rsidR="00A05041" w:rsidRPr="006C4FA5" w:rsidRDefault="00A05041" w:rsidP="000371C0">
            <w:pPr>
              <w:jc w:val="center"/>
              <w:rPr>
                <w:rFonts w:eastAsia="Calibri"/>
                <w:sz w:val="20"/>
              </w:rPr>
            </w:pPr>
            <w:r w:rsidRPr="006C4FA5">
              <w:rPr>
                <w:rFonts w:eastAsia="Calibri"/>
                <w:sz w:val="20"/>
              </w:rPr>
              <w:t>4</w:t>
            </w:r>
          </w:p>
        </w:tc>
        <w:tc>
          <w:tcPr>
            <w:tcW w:w="2685" w:type="dxa"/>
            <w:shd w:val="clear" w:color="auto" w:fill="auto"/>
            <w:vAlign w:val="center"/>
          </w:tcPr>
          <w:p w14:paraId="28BB4BEC" w14:textId="77777777" w:rsidR="00A05041" w:rsidRPr="006C4FA5" w:rsidRDefault="00A05041" w:rsidP="000371C0">
            <w:pPr>
              <w:jc w:val="center"/>
              <w:rPr>
                <w:rFonts w:eastAsia="Calibri"/>
                <w:sz w:val="20"/>
              </w:rPr>
            </w:pPr>
            <w:r w:rsidRPr="006C4FA5">
              <w:rPr>
                <w:rFonts w:eastAsia="Calibri"/>
                <w:sz w:val="20"/>
              </w:rPr>
              <w:t>---</w:t>
            </w:r>
          </w:p>
        </w:tc>
      </w:tr>
    </w:tbl>
    <w:p w14:paraId="593822D7" w14:textId="77777777" w:rsidR="00A05041" w:rsidRDefault="00A05041" w:rsidP="00A05041">
      <w:pPr>
        <w:autoSpaceDE w:val="0"/>
        <w:autoSpaceDN w:val="0"/>
        <w:adjustRightInd w:val="0"/>
        <w:ind w:left="1134"/>
        <w:jc w:val="right"/>
        <w:rPr>
          <w:sz w:val="20"/>
        </w:rPr>
      </w:pPr>
      <w:r w:rsidRPr="006C4FA5">
        <w:rPr>
          <w:szCs w:val="24"/>
        </w:rPr>
        <w:tab/>
      </w:r>
      <w:r w:rsidRPr="006C4FA5">
        <w:rPr>
          <w:sz w:val="20"/>
        </w:rPr>
        <w:t>Tabulka č.</w:t>
      </w:r>
      <w:r w:rsidRPr="00E81973">
        <w:rPr>
          <w:sz w:val="20"/>
        </w:rPr>
        <w:t xml:space="preserve"> 3</w:t>
      </w:r>
    </w:p>
    <w:p w14:paraId="599D893D" w14:textId="77777777" w:rsidR="00A05041" w:rsidRPr="000709CA" w:rsidRDefault="00A05041" w:rsidP="00A05041">
      <w:pPr>
        <w:autoSpaceDE w:val="0"/>
        <w:autoSpaceDN w:val="0"/>
        <w:adjustRightInd w:val="0"/>
        <w:ind w:left="1134"/>
        <w:jc w:val="right"/>
        <w:rPr>
          <w:sz w:val="20"/>
        </w:rPr>
      </w:pPr>
    </w:p>
    <w:p w14:paraId="0BA6E206" w14:textId="77777777" w:rsidR="00A05041" w:rsidRDefault="00A05041" w:rsidP="00A05041">
      <w:pPr>
        <w:numPr>
          <w:ilvl w:val="0"/>
          <w:numId w:val="9"/>
        </w:numPr>
        <w:tabs>
          <w:tab w:val="num" w:pos="851"/>
        </w:tabs>
        <w:suppressAutoHyphens w:val="0"/>
        <w:autoSpaceDE w:val="0"/>
        <w:autoSpaceDN w:val="0"/>
        <w:adjustRightInd w:val="0"/>
        <w:spacing w:line="240" w:lineRule="auto"/>
        <w:ind w:left="851" w:hanging="425"/>
        <w:contextualSpacing/>
        <w:rPr>
          <w:sz w:val="22"/>
          <w:szCs w:val="22"/>
        </w:rPr>
      </w:pPr>
      <w:r w:rsidRPr="006C4FA5">
        <w:rPr>
          <w:sz w:val="22"/>
          <w:szCs w:val="22"/>
        </w:rPr>
        <w:t>tržiště, na kterém lze prodávat věnce, kytice, květiny, předměty na hroby (svíčky apod.). Jeho umístění, kapacita a vybavenost se stanovuje takto:</w:t>
      </w:r>
    </w:p>
    <w:p w14:paraId="1C39B322" w14:textId="77777777" w:rsidR="00A05041" w:rsidRPr="002A4B8F" w:rsidRDefault="00A05041" w:rsidP="00A05041">
      <w:pPr>
        <w:suppressAutoHyphens w:val="0"/>
        <w:autoSpaceDE w:val="0"/>
        <w:autoSpaceDN w:val="0"/>
        <w:adjustRightInd w:val="0"/>
        <w:spacing w:line="240" w:lineRule="auto"/>
        <w:ind w:left="851"/>
        <w:contextualSpacing/>
        <w:rPr>
          <w:sz w:val="22"/>
          <w:szCs w:val="22"/>
        </w:rPr>
      </w:pPr>
    </w:p>
    <w:p w14:paraId="6C99E69B" w14:textId="77777777" w:rsidR="00A05041" w:rsidRPr="00E81973" w:rsidRDefault="00A05041" w:rsidP="00A05041">
      <w:pPr>
        <w:tabs>
          <w:tab w:val="num" w:pos="1560"/>
        </w:tabs>
        <w:autoSpaceDE w:val="0"/>
        <w:autoSpaceDN w:val="0"/>
        <w:adjustRightInd w:val="0"/>
        <w:ind w:left="1134"/>
        <w:rPr>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621"/>
        <w:gridCol w:w="2676"/>
      </w:tblGrid>
      <w:tr w:rsidR="00A05041" w:rsidRPr="00E81973" w14:paraId="04A7A6FA" w14:textId="77777777" w:rsidTr="000371C0">
        <w:tc>
          <w:tcPr>
            <w:tcW w:w="2919" w:type="dxa"/>
            <w:shd w:val="clear" w:color="auto" w:fill="auto"/>
          </w:tcPr>
          <w:p w14:paraId="6730BE8B" w14:textId="77777777" w:rsidR="00A05041" w:rsidRPr="00735E53" w:rsidRDefault="00A05041" w:rsidP="000371C0">
            <w:pPr>
              <w:tabs>
                <w:tab w:val="num" w:pos="1560"/>
              </w:tabs>
              <w:jc w:val="center"/>
              <w:rPr>
                <w:rFonts w:eastAsia="Calibri"/>
                <w:b/>
                <w:sz w:val="20"/>
              </w:rPr>
            </w:pPr>
            <w:r w:rsidRPr="00735E53">
              <w:rPr>
                <w:rFonts w:eastAsia="Calibri"/>
                <w:b/>
                <w:sz w:val="20"/>
              </w:rPr>
              <w:t>Lokalita</w:t>
            </w:r>
          </w:p>
        </w:tc>
        <w:tc>
          <w:tcPr>
            <w:tcW w:w="2621" w:type="dxa"/>
            <w:shd w:val="clear" w:color="auto" w:fill="auto"/>
          </w:tcPr>
          <w:p w14:paraId="540ACC9C" w14:textId="77777777" w:rsidR="00A05041" w:rsidRPr="00735E53" w:rsidRDefault="00A05041" w:rsidP="000371C0">
            <w:pPr>
              <w:tabs>
                <w:tab w:val="num" w:pos="1560"/>
              </w:tabs>
              <w:jc w:val="center"/>
              <w:rPr>
                <w:rFonts w:eastAsia="Calibri"/>
                <w:b/>
                <w:sz w:val="20"/>
              </w:rPr>
            </w:pPr>
            <w:r w:rsidRPr="00735E53">
              <w:rPr>
                <w:rFonts w:eastAsia="Calibri"/>
                <w:b/>
                <w:sz w:val="20"/>
              </w:rPr>
              <w:t>Kapacita tržních míst</w:t>
            </w:r>
          </w:p>
        </w:tc>
        <w:tc>
          <w:tcPr>
            <w:tcW w:w="2676" w:type="dxa"/>
            <w:shd w:val="clear" w:color="auto" w:fill="auto"/>
          </w:tcPr>
          <w:p w14:paraId="3D586F03" w14:textId="77777777" w:rsidR="00A05041" w:rsidRPr="00735E53" w:rsidRDefault="00A05041" w:rsidP="000371C0">
            <w:pPr>
              <w:tabs>
                <w:tab w:val="num" w:pos="1560"/>
              </w:tabs>
              <w:jc w:val="center"/>
              <w:rPr>
                <w:rFonts w:eastAsia="Calibri"/>
                <w:b/>
                <w:sz w:val="20"/>
              </w:rPr>
            </w:pPr>
            <w:r w:rsidRPr="00735E53">
              <w:rPr>
                <w:rFonts w:eastAsia="Calibri"/>
                <w:b/>
                <w:sz w:val="20"/>
              </w:rPr>
              <w:t>Vybavenost</w:t>
            </w:r>
          </w:p>
        </w:tc>
      </w:tr>
      <w:tr w:rsidR="00A05041" w:rsidRPr="00E81973" w14:paraId="7D4E5D8B" w14:textId="77777777" w:rsidTr="000371C0">
        <w:tc>
          <w:tcPr>
            <w:tcW w:w="2919" w:type="dxa"/>
            <w:shd w:val="clear" w:color="auto" w:fill="auto"/>
          </w:tcPr>
          <w:p w14:paraId="2EBD72FA" w14:textId="77777777" w:rsidR="00A05041" w:rsidRPr="00735E53" w:rsidRDefault="00A05041" w:rsidP="000371C0">
            <w:pPr>
              <w:tabs>
                <w:tab w:val="num" w:pos="1560"/>
              </w:tabs>
              <w:rPr>
                <w:rFonts w:eastAsia="Calibri"/>
                <w:sz w:val="20"/>
              </w:rPr>
            </w:pPr>
            <w:r w:rsidRPr="00735E53">
              <w:rPr>
                <w:rFonts w:eastAsia="Calibri"/>
                <w:sz w:val="20"/>
              </w:rPr>
              <w:t>ul. U Hřbitova</w:t>
            </w:r>
          </w:p>
          <w:p w14:paraId="34F0B677" w14:textId="77777777" w:rsidR="00A05041" w:rsidRPr="00735E53" w:rsidRDefault="00A05041" w:rsidP="000371C0">
            <w:pPr>
              <w:tabs>
                <w:tab w:val="num" w:pos="1560"/>
              </w:tabs>
              <w:rPr>
                <w:rFonts w:eastAsia="Calibri"/>
                <w:sz w:val="20"/>
              </w:rPr>
            </w:pPr>
            <w:r w:rsidRPr="00735E53">
              <w:rPr>
                <w:rFonts w:eastAsia="Calibri"/>
                <w:sz w:val="20"/>
              </w:rPr>
              <w:t>(u zimního stadionu)</w:t>
            </w:r>
          </w:p>
        </w:tc>
        <w:tc>
          <w:tcPr>
            <w:tcW w:w="2621" w:type="dxa"/>
            <w:shd w:val="clear" w:color="auto" w:fill="auto"/>
            <w:vAlign w:val="center"/>
          </w:tcPr>
          <w:p w14:paraId="1194BE50" w14:textId="77777777" w:rsidR="00A05041" w:rsidRPr="00735E53" w:rsidRDefault="00A05041" w:rsidP="000371C0">
            <w:pPr>
              <w:tabs>
                <w:tab w:val="num" w:pos="1560"/>
              </w:tabs>
              <w:jc w:val="center"/>
              <w:rPr>
                <w:rFonts w:eastAsia="Calibri"/>
                <w:sz w:val="20"/>
              </w:rPr>
            </w:pPr>
            <w:r w:rsidRPr="00735E53">
              <w:rPr>
                <w:rFonts w:eastAsia="Calibri"/>
                <w:sz w:val="20"/>
              </w:rPr>
              <w:t>8</w:t>
            </w:r>
          </w:p>
        </w:tc>
        <w:tc>
          <w:tcPr>
            <w:tcW w:w="2676" w:type="dxa"/>
            <w:shd w:val="clear" w:color="auto" w:fill="auto"/>
            <w:vAlign w:val="center"/>
          </w:tcPr>
          <w:p w14:paraId="1255B6B1" w14:textId="77777777" w:rsidR="00A05041" w:rsidRPr="00735E53" w:rsidRDefault="00A05041" w:rsidP="000371C0">
            <w:pPr>
              <w:tabs>
                <w:tab w:val="num" w:pos="1560"/>
              </w:tabs>
              <w:jc w:val="center"/>
              <w:rPr>
                <w:rFonts w:eastAsia="Calibri"/>
                <w:sz w:val="20"/>
              </w:rPr>
            </w:pPr>
            <w:r w:rsidRPr="00735E53">
              <w:rPr>
                <w:rFonts w:eastAsia="Calibri"/>
                <w:sz w:val="20"/>
              </w:rPr>
              <w:t>---</w:t>
            </w:r>
          </w:p>
        </w:tc>
      </w:tr>
    </w:tbl>
    <w:p w14:paraId="42679502" w14:textId="77777777" w:rsidR="00A05041" w:rsidRPr="000103AE" w:rsidRDefault="00A05041" w:rsidP="00A05041">
      <w:pPr>
        <w:tabs>
          <w:tab w:val="num" w:pos="1560"/>
        </w:tabs>
        <w:autoSpaceDE w:val="0"/>
        <w:autoSpaceDN w:val="0"/>
        <w:adjustRightInd w:val="0"/>
        <w:ind w:left="1134"/>
        <w:jc w:val="right"/>
        <w:rPr>
          <w:sz w:val="20"/>
        </w:rPr>
      </w:pPr>
      <w:r w:rsidRPr="00E81973">
        <w:rPr>
          <w:sz w:val="20"/>
        </w:rPr>
        <w:t>Tabulka č. 4</w:t>
      </w:r>
    </w:p>
    <w:p w14:paraId="1ACC3CC7" w14:textId="77777777" w:rsidR="00A05041" w:rsidRPr="00E81973" w:rsidRDefault="00A05041" w:rsidP="00A05041">
      <w:pPr>
        <w:pStyle w:val="Default"/>
        <w:tabs>
          <w:tab w:val="left" w:pos="540"/>
        </w:tabs>
        <w:jc w:val="right"/>
        <w:rPr>
          <w:color w:val="auto"/>
          <w:sz w:val="16"/>
          <w:szCs w:val="16"/>
        </w:rPr>
      </w:pPr>
    </w:p>
    <w:p w14:paraId="284469F9" w14:textId="77777777" w:rsidR="00A05041" w:rsidRPr="00735E53" w:rsidRDefault="00A05041" w:rsidP="00A05041">
      <w:pPr>
        <w:pStyle w:val="Default"/>
        <w:numPr>
          <w:ilvl w:val="0"/>
          <w:numId w:val="9"/>
        </w:numPr>
        <w:jc w:val="both"/>
        <w:rPr>
          <w:color w:val="auto"/>
          <w:sz w:val="22"/>
          <w:szCs w:val="22"/>
        </w:rPr>
      </w:pPr>
      <w:r w:rsidRPr="00735E53">
        <w:rPr>
          <w:color w:val="auto"/>
          <w:sz w:val="22"/>
          <w:szCs w:val="22"/>
        </w:rPr>
        <w:t>tržiště, na kterém lze prodávat potraviny, zvířata (živá selata, jehňata a kůzlata o živé hmotnosti do 15 kg, drůbež patřící do rodů kur, krůta, perlička, kachna a husa, holuby, králíky, ryby a zvířata v zájmovém chovu s výjimkou zvířat nebezpečných druhů)</w:t>
      </w:r>
      <w:r w:rsidRPr="00754EA7">
        <w:rPr>
          <w:color w:val="auto"/>
          <w:sz w:val="22"/>
          <w:szCs w:val="22"/>
          <w:vertAlign w:val="superscript"/>
        </w:rPr>
        <w:t>2</w:t>
      </w:r>
      <w:r w:rsidRPr="00E11B4E">
        <w:rPr>
          <w:color w:val="auto"/>
          <w:sz w:val="22"/>
          <w:szCs w:val="22"/>
          <w:vertAlign w:val="superscript"/>
        </w:rPr>
        <w:t>)</w:t>
      </w:r>
      <w:r w:rsidRPr="00E11B4E">
        <w:rPr>
          <w:color w:val="auto"/>
          <w:sz w:val="22"/>
          <w:szCs w:val="22"/>
        </w:rPr>
        <w:t xml:space="preserve">, krmiva, chovatelské potřeby, stavebniny, dopravní prostředky, elektrotechniku, kosmetiku, oblečení, zemědělské </w:t>
      </w:r>
      <w:r w:rsidRPr="00735E53">
        <w:rPr>
          <w:color w:val="auto"/>
          <w:sz w:val="22"/>
          <w:szCs w:val="22"/>
        </w:rPr>
        <w:t>produkty, sportovní potřeby, umělecké potřeby a bankovní produkty. Jeho umístění, kapacita a vybavenost se stanovuje takto:</w:t>
      </w:r>
    </w:p>
    <w:p w14:paraId="63A23A77" w14:textId="77777777" w:rsidR="00A05041" w:rsidRPr="00E81973" w:rsidRDefault="00A05041" w:rsidP="00A05041">
      <w:pPr>
        <w:pStyle w:val="Default"/>
        <w:tabs>
          <w:tab w:val="left" w:pos="540"/>
        </w:tabs>
        <w:ind w:left="120"/>
        <w:rPr>
          <w:color w:val="auto"/>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646"/>
        <w:gridCol w:w="2675"/>
      </w:tblGrid>
      <w:tr w:rsidR="00A05041" w:rsidRPr="00E81973" w14:paraId="4294BF2A" w14:textId="77777777" w:rsidTr="000371C0">
        <w:tc>
          <w:tcPr>
            <w:tcW w:w="2895" w:type="dxa"/>
          </w:tcPr>
          <w:p w14:paraId="61A9CC3B"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Lokalita</w:t>
            </w:r>
          </w:p>
        </w:tc>
        <w:tc>
          <w:tcPr>
            <w:tcW w:w="2646" w:type="dxa"/>
          </w:tcPr>
          <w:p w14:paraId="4A0CEDF1"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Kapacita tržních míst</w:t>
            </w:r>
          </w:p>
        </w:tc>
        <w:tc>
          <w:tcPr>
            <w:tcW w:w="2675" w:type="dxa"/>
          </w:tcPr>
          <w:p w14:paraId="6D110FB7"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Vybavenost</w:t>
            </w:r>
          </w:p>
        </w:tc>
      </w:tr>
      <w:tr w:rsidR="00A05041" w:rsidRPr="00E81973" w14:paraId="5DDD87A0" w14:textId="77777777" w:rsidTr="000371C0">
        <w:tc>
          <w:tcPr>
            <w:tcW w:w="2895" w:type="dxa"/>
          </w:tcPr>
          <w:p w14:paraId="5F768672" w14:textId="77777777" w:rsidR="00A05041" w:rsidRPr="00393823" w:rsidRDefault="00A05041" w:rsidP="000371C0">
            <w:pPr>
              <w:pStyle w:val="Default"/>
              <w:tabs>
                <w:tab w:val="left" w:pos="540"/>
              </w:tabs>
              <w:suppressAutoHyphens/>
              <w:spacing w:line="252" w:lineRule="auto"/>
              <w:jc w:val="both"/>
              <w:rPr>
                <w:color w:val="auto"/>
                <w:sz w:val="20"/>
                <w:szCs w:val="20"/>
              </w:rPr>
            </w:pPr>
            <w:r w:rsidRPr="00393823">
              <w:rPr>
                <w:color w:val="auto"/>
                <w:sz w:val="20"/>
                <w:szCs w:val="20"/>
              </w:rPr>
              <w:t>výstaviště</w:t>
            </w:r>
          </w:p>
        </w:tc>
        <w:tc>
          <w:tcPr>
            <w:tcW w:w="2646" w:type="dxa"/>
          </w:tcPr>
          <w:p w14:paraId="6110BB99" w14:textId="77777777" w:rsidR="00A05041" w:rsidRPr="00393823" w:rsidRDefault="00A05041" w:rsidP="000371C0">
            <w:pPr>
              <w:pStyle w:val="Default"/>
              <w:tabs>
                <w:tab w:val="left" w:pos="540"/>
              </w:tabs>
              <w:suppressAutoHyphens/>
              <w:spacing w:line="252" w:lineRule="auto"/>
              <w:jc w:val="center"/>
              <w:rPr>
                <w:color w:val="auto"/>
                <w:sz w:val="20"/>
                <w:szCs w:val="20"/>
              </w:rPr>
            </w:pPr>
            <w:r w:rsidRPr="00393823">
              <w:rPr>
                <w:color w:val="auto"/>
                <w:sz w:val="20"/>
                <w:szCs w:val="20"/>
              </w:rPr>
              <w:t>nestanovuje se</w:t>
            </w:r>
          </w:p>
        </w:tc>
        <w:tc>
          <w:tcPr>
            <w:tcW w:w="2675" w:type="dxa"/>
          </w:tcPr>
          <w:p w14:paraId="59F9C3E8" w14:textId="77777777" w:rsidR="00A05041" w:rsidRPr="00393823" w:rsidRDefault="00A05041" w:rsidP="000371C0">
            <w:pPr>
              <w:pStyle w:val="Default"/>
              <w:tabs>
                <w:tab w:val="left" w:pos="540"/>
              </w:tabs>
              <w:suppressAutoHyphens/>
              <w:spacing w:line="252" w:lineRule="auto"/>
              <w:jc w:val="center"/>
              <w:rPr>
                <w:color w:val="auto"/>
                <w:sz w:val="20"/>
                <w:szCs w:val="20"/>
              </w:rPr>
            </w:pPr>
            <w:r w:rsidRPr="00393823">
              <w:rPr>
                <w:color w:val="auto"/>
                <w:sz w:val="20"/>
                <w:szCs w:val="20"/>
              </w:rPr>
              <w:t>---</w:t>
            </w:r>
          </w:p>
        </w:tc>
      </w:tr>
    </w:tbl>
    <w:p w14:paraId="16A8F7FE" w14:textId="77777777" w:rsidR="00A05041" w:rsidRDefault="00A05041" w:rsidP="00A05041">
      <w:pPr>
        <w:pStyle w:val="Default"/>
        <w:tabs>
          <w:tab w:val="left" w:pos="540"/>
        </w:tabs>
        <w:jc w:val="right"/>
        <w:rPr>
          <w:color w:val="auto"/>
          <w:sz w:val="20"/>
          <w:szCs w:val="20"/>
        </w:rPr>
      </w:pPr>
      <w:r w:rsidRPr="00E81973">
        <w:rPr>
          <w:color w:val="auto"/>
          <w:sz w:val="20"/>
          <w:szCs w:val="20"/>
        </w:rPr>
        <w:t>Tabulka č. 5</w:t>
      </w:r>
    </w:p>
    <w:p w14:paraId="6B3E9035" w14:textId="77777777" w:rsidR="00A05041" w:rsidRDefault="00A05041" w:rsidP="00A05041">
      <w:pPr>
        <w:pStyle w:val="Default"/>
        <w:tabs>
          <w:tab w:val="left" w:pos="540"/>
        </w:tabs>
        <w:jc w:val="right"/>
        <w:rPr>
          <w:color w:val="auto"/>
          <w:sz w:val="20"/>
          <w:szCs w:val="20"/>
        </w:rPr>
      </w:pPr>
    </w:p>
    <w:p w14:paraId="5A2F1F4A" w14:textId="77777777" w:rsidR="00A05041" w:rsidRPr="00735E53" w:rsidRDefault="00A05041" w:rsidP="00A05041">
      <w:pPr>
        <w:pStyle w:val="Default"/>
        <w:tabs>
          <w:tab w:val="left" w:pos="709"/>
        </w:tabs>
        <w:ind w:left="709" w:hanging="567"/>
        <w:jc w:val="both"/>
        <w:rPr>
          <w:color w:val="auto"/>
          <w:sz w:val="22"/>
          <w:szCs w:val="22"/>
        </w:rPr>
      </w:pPr>
      <w:r w:rsidRPr="000C18EA">
        <w:rPr>
          <w:color w:val="FF0000"/>
        </w:rPr>
        <w:t xml:space="preserve">     </w:t>
      </w:r>
      <w:r w:rsidRPr="009E354D">
        <w:rPr>
          <w:color w:val="auto"/>
        </w:rPr>
        <w:t xml:space="preserve">f) </w:t>
      </w:r>
      <w:r w:rsidRPr="00735E53">
        <w:rPr>
          <w:color w:val="auto"/>
          <w:sz w:val="22"/>
          <w:szCs w:val="22"/>
        </w:rPr>
        <w:t xml:space="preserve">tržiště, na kterém lze prodávat ovoce, zeleninu a výrobky z nich (např. šťávy, mošty, zavařeniny, sirupy, džemy a marmelády), sušené ovoce a zeleninu, byliny, </w:t>
      </w:r>
      <w:r w:rsidRPr="00E11B4E">
        <w:rPr>
          <w:color w:val="auto"/>
          <w:sz w:val="22"/>
          <w:szCs w:val="22"/>
        </w:rPr>
        <w:t xml:space="preserve">koření, čaj a kávu, </w:t>
      </w:r>
      <w:r w:rsidRPr="00735E53">
        <w:rPr>
          <w:color w:val="auto"/>
          <w:sz w:val="22"/>
          <w:szCs w:val="22"/>
        </w:rPr>
        <w:t>vejce, pečivo, perníky, med a včelí produkty, ostatní potraviny, květiny a sadbu, věnce, jmelí, přírodní kosmetické přípravky, rukodělné a řemeslné výrobky, hračky a knihy. Jeho umístění, kapacita a vybavenost se stanovuje takto:</w:t>
      </w:r>
    </w:p>
    <w:p w14:paraId="5CD03239" w14:textId="77777777" w:rsidR="00A05041" w:rsidRPr="009E354D" w:rsidRDefault="00A05041" w:rsidP="00A05041">
      <w:pPr>
        <w:pStyle w:val="Default"/>
        <w:tabs>
          <w:tab w:val="left" w:pos="709"/>
        </w:tabs>
        <w:ind w:left="709" w:hanging="567"/>
        <w:jc w:val="both"/>
        <w:rPr>
          <w:color w:val="auto"/>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642"/>
        <w:gridCol w:w="2678"/>
      </w:tblGrid>
      <w:tr w:rsidR="00A05041" w:rsidRPr="009E354D" w14:paraId="522D245B" w14:textId="77777777" w:rsidTr="000371C0">
        <w:tc>
          <w:tcPr>
            <w:tcW w:w="3038" w:type="dxa"/>
          </w:tcPr>
          <w:p w14:paraId="3A239477"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Lokalita</w:t>
            </w:r>
          </w:p>
        </w:tc>
        <w:tc>
          <w:tcPr>
            <w:tcW w:w="2642" w:type="dxa"/>
          </w:tcPr>
          <w:p w14:paraId="02037852"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Kapacita tržních míst</w:t>
            </w:r>
          </w:p>
        </w:tc>
        <w:tc>
          <w:tcPr>
            <w:tcW w:w="2678" w:type="dxa"/>
          </w:tcPr>
          <w:p w14:paraId="5A2B8228"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Vybavenost</w:t>
            </w:r>
          </w:p>
        </w:tc>
      </w:tr>
      <w:tr w:rsidR="00A05041" w:rsidRPr="009E354D" w14:paraId="78E6BAC7" w14:textId="77777777" w:rsidTr="000371C0">
        <w:tc>
          <w:tcPr>
            <w:tcW w:w="3038" w:type="dxa"/>
          </w:tcPr>
          <w:p w14:paraId="28D89026" w14:textId="77777777" w:rsidR="00A05041" w:rsidRPr="00393823" w:rsidRDefault="00A05041" w:rsidP="000371C0">
            <w:pPr>
              <w:pStyle w:val="Default"/>
              <w:tabs>
                <w:tab w:val="left" w:pos="540"/>
              </w:tabs>
              <w:suppressAutoHyphens/>
              <w:spacing w:line="252" w:lineRule="auto"/>
              <w:jc w:val="both"/>
              <w:rPr>
                <w:color w:val="auto"/>
                <w:sz w:val="20"/>
                <w:szCs w:val="20"/>
              </w:rPr>
            </w:pPr>
            <w:r w:rsidRPr="00393823">
              <w:rPr>
                <w:color w:val="auto"/>
                <w:sz w:val="20"/>
                <w:szCs w:val="20"/>
              </w:rPr>
              <w:t>ul. Čechova</w:t>
            </w:r>
          </w:p>
          <w:p w14:paraId="171EDA86" w14:textId="77777777" w:rsidR="00A05041" w:rsidRPr="00393823" w:rsidRDefault="00A05041" w:rsidP="000371C0">
            <w:pPr>
              <w:pStyle w:val="Default"/>
              <w:tabs>
                <w:tab w:val="left" w:pos="540"/>
              </w:tabs>
              <w:suppressAutoHyphens/>
              <w:spacing w:line="252" w:lineRule="auto"/>
              <w:jc w:val="both"/>
              <w:rPr>
                <w:color w:val="auto"/>
                <w:sz w:val="20"/>
                <w:szCs w:val="20"/>
              </w:rPr>
            </w:pPr>
            <w:r w:rsidRPr="00393823">
              <w:rPr>
                <w:color w:val="auto"/>
                <w:sz w:val="20"/>
                <w:szCs w:val="20"/>
              </w:rPr>
              <w:t>(před Galerií Přerov)</w:t>
            </w:r>
          </w:p>
        </w:tc>
        <w:tc>
          <w:tcPr>
            <w:tcW w:w="2642" w:type="dxa"/>
          </w:tcPr>
          <w:p w14:paraId="15B1FC8E" w14:textId="77777777" w:rsidR="00A05041" w:rsidRPr="00393823" w:rsidRDefault="00A05041" w:rsidP="000371C0">
            <w:pPr>
              <w:pStyle w:val="Default"/>
              <w:tabs>
                <w:tab w:val="left" w:pos="540"/>
              </w:tabs>
              <w:suppressAutoHyphens/>
              <w:spacing w:line="252" w:lineRule="auto"/>
              <w:jc w:val="center"/>
              <w:rPr>
                <w:color w:val="auto"/>
                <w:sz w:val="20"/>
                <w:szCs w:val="20"/>
              </w:rPr>
            </w:pPr>
            <w:r w:rsidRPr="00393823">
              <w:rPr>
                <w:color w:val="auto"/>
                <w:sz w:val="20"/>
                <w:szCs w:val="20"/>
              </w:rPr>
              <w:t>5</w:t>
            </w:r>
          </w:p>
        </w:tc>
        <w:tc>
          <w:tcPr>
            <w:tcW w:w="2678" w:type="dxa"/>
          </w:tcPr>
          <w:p w14:paraId="68329E10" w14:textId="77777777" w:rsidR="00A05041" w:rsidRPr="00393823" w:rsidRDefault="00A05041" w:rsidP="000371C0">
            <w:pPr>
              <w:pStyle w:val="Default"/>
              <w:tabs>
                <w:tab w:val="left" w:pos="540"/>
              </w:tabs>
              <w:suppressAutoHyphens/>
              <w:spacing w:line="252" w:lineRule="auto"/>
              <w:jc w:val="center"/>
              <w:rPr>
                <w:color w:val="auto"/>
                <w:sz w:val="20"/>
                <w:szCs w:val="20"/>
              </w:rPr>
            </w:pPr>
            <w:r w:rsidRPr="00393823">
              <w:rPr>
                <w:color w:val="auto"/>
                <w:sz w:val="20"/>
                <w:szCs w:val="20"/>
              </w:rPr>
              <w:t>---</w:t>
            </w:r>
          </w:p>
        </w:tc>
      </w:tr>
    </w:tbl>
    <w:p w14:paraId="469864DF" w14:textId="77777777" w:rsidR="00A05041" w:rsidRDefault="00A05041" w:rsidP="00A05041">
      <w:pPr>
        <w:pStyle w:val="Default"/>
        <w:tabs>
          <w:tab w:val="left" w:pos="540"/>
        </w:tabs>
        <w:jc w:val="right"/>
        <w:rPr>
          <w:color w:val="auto"/>
          <w:sz w:val="20"/>
          <w:szCs w:val="20"/>
        </w:rPr>
      </w:pPr>
      <w:r w:rsidRPr="009E354D">
        <w:rPr>
          <w:color w:val="auto"/>
          <w:sz w:val="20"/>
          <w:szCs w:val="20"/>
        </w:rPr>
        <w:t>Tabulka č. 6</w:t>
      </w:r>
    </w:p>
    <w:p w14:paraId="5F628D29" w14:textId="77777777" w:rsidR="00A05041" w:rsidRPr="00E11B4E" w:rsidRDefault="00A05041" w:rsidP="00A05041">
      <w:pPr>
        <w:pStyle w:val="Default"/>
        <w:tabs>
          <w:tab w:val="left" w:pos="540"/>
        </w:tabs>
        <w:jc w:val="right"/>
        <w:rPr>
          <w:color w:val="auto"/>
          <w:sz w:val="20"/>
          <w:szCs w:val="20"/>
        </w:rPr>
      </w:pPr>
    </w:p>
    <w:p w14:paraId="62CE490A" w14:textId="77777777" w:rsidR="00A05041" w:rsidRDefault="00A05041" w:rsidP="00A05041">
      <w:pPr>
        <w:pStyle w:val="Default"/>
        <w:numPr>
          <w:ilvl w:val="0"/>
          <w:numId w:val="12"/>
        </w:numPr>
        <w:tabs>
          <w:tab w:val="left" w:pos="540"/>
        </w:tabs>
        <w:jc w:val="both"/>
        <w:rPr>
          <w:color w:val="auto"/>
          <w:sz w:val="22"/>
          <w:szCs w:val="22"/>
        </w:rPr>
      </w:pPr>
      <w:r w:rsidRPr="00961F2E">
        <w:rPr>
          <w:color w:val="auto"/>
          <w:sz w:val="22"/>
          <w:szCs w:val="22"/>
        </w:rPr>
        <w:t xml:space="preserve">tržiště, na kterém lze prodávat zmrzlinu, ovoce, zeleninu, </w:t>
      </w:r>
      <w:r>
        <w:rPr>
          <w:color w:val="auto"/>
          <w:sz w:val="22"/>
          <w:szCs w:val="22"/>
        </w:rPr>
        <w:t xml:space="preserve">ostatní </w:t>
      </w:r>
      <w:r w:rsidRPr="00961F2E">
        <w:rPr>
          <w:color w:val="auto"/>
          <w:sz w:val="22"/>
          <w:szCs w:val="22"/>
        </w:rPr>
        <w:t>potraviny</w:t>
      </w:r>
      <w:r>
        <w:rPr>
          <w:color w:val="auto"/>
          <w:sz w:val="22"/>
          <w:szCs w:val="22"/>
        </w:rPr>
        <w:t>,</w:t>
      </w:r>
      <w:r w:rsidRPr="00961F2E">
        <w:rPr>
          <w:color w:val="auto"/>
          <w:sz w:val="22"/>
          <w:szCs w:val="22"/>
        </w:rPr>
        <w:t xml:space="preserve"> </w:t>
      </w:r>
      <w:r>
        <w:rPr>
          <w:color w:val="auto"/>
          <w:sz w:val="22"/>
          <w:szCs w:val="22"/>
        </w:rPr>
        <w:t xml:space="preserve">květiny, </w:t>
      </w:r>
      <w:r w:rsidRPr="00961F2E">
        <w:rPr>
          <w:color w:val="auto"/>
          <w:sz w:val="22"/>
          <w:szCs w:val="22"/>
        </w:rPr>
        <w:t>sazenice, věnce, kytice</w:t>
      </w:r>
      <w:r>
        <w:rPr>
          <w:color w:val="auto"/>
          <w:sz w:val="22"/>
          <w:szCs w:val="22"/>
        </w:rPr>
        <w:t xml:space="preserve"> a farmářské výrobky. Jeho umístění, kapacita a vybavenost se stanovuje takto:</w:t>
      </w:r>
    </w:p>
    <w:p w14:paraId="1ED4FB19" w14:textId="77777777" w:rsidR="00A05041" w:rsidRDefault="00A05041" w:rsidP="00A05041">
      <w:pPr>
        <w:pStyle w:val="Default"/>
        <w:tabs>
          <w:tab w:val="left" w:pos="540"/>
        </w:tabs>
        <w:ind w:left="786"/>
        <w:jc w:val="both"/>
        <w:rPr>
          <w:color w:val="auto"/>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642"/>
        <w:gridCol w:w="2678"/>
      </w:tblGrid>
      <w:tr w:rsidR="00A05041" w:rsidRPr="00393823" w14:paraId="3944DD50" w14:textId="77777777" w:rsidTr="000371C0">
        <w:tc>
          <w:tcPr>
            <w:tcW w:w="3038" w:type="dxa"/>
          </w:tcPr>
          <w:p w14:paraId="6BB1A839"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Lokalita</w:t>
            </w:r>
          </w:p>
        </w:tc>
        <w:tc>
          <w:tcPr>
            <w:tcW w:w="2642" w:type="dxa"/>
          </w:tcPr>
          <w:p w14:paraId="198F911D"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Kapacita tržních míst</w:t>
            </w:r>
          </w:p>
        </w:tc>
        <w:tc>
          <w:tcPr>
            <w:tcW w:w="2678" w:type="dxa"/>
          </w:tcPr>
          <w:p w14:paraId="33BEC97F" w14:textId="77777777" w:rsidR="00A05041" w:rsidRPr="00393823" w:rsidRDefault="00A05041" w:rsidP="000371C0">
            <w:pPr>
              <w:pStyle w:val="Default"/>
              <w:tabs>
                <w:tab w:val="left" w:pos="540"/>
              </w:tabs>
              <w:suppressAutoHyphens/>
              <w:spacing w:line="252" w:lineRule="auto"/>
              <w:jc w:val="center"/>
              <w:rPr>
                <w:b/>
                <w:color w:val="auto"/>
                <w:sz w:val="20"/>
                <w:szCs w:val="20"/>
              </w:rPr>
            </w:pPr>
            <w:r w:rsidRPr="00393823">
              <w:rPr>
                <w:b/>
                <w:color w:val="auto"/>
                <w:sz w:val="20"/>
                <w:szCs w:val="20"/>
              </w:rPr>
              <w:t>Vybavenost</w:t>
            </w:r>
          </w:p>
        </w:tc>
      </w:tr>
      <w:tr w:rsidR="00A05041" w:rsidRPr="00393823" w14:paraId="0FB6F034" w14:textId="77777777" w:rsidTr="000371C0">
        <w:tc>
          <w:tcPr>
            <w:tcW w:w="3038" w:type="dxa"/>
          </w:tcPr>
          <w:p w14:paraId="21EB072D" w14:textId="77777777" w:rsidR="00A05041" w:rsidRPr="00393823" w:rsidRDefault="00A05041" w:rsidP="000371C0">
            <w:pPr>
              <w:pStyle w:val="Default"/>
              <w:tabs>
                <w:tab w:val="left" w:pos="540"/>
              </w:tabs>
              <w:suppressAutoHyphens/>
              <w:spacing w:line="252" w:lineRule="auto"/>
              <w:jc w:val="both"/>
              <w:rPr>
                <w:color w:val="auto"/>
                <w:sz w:val="20"/>
                <w:szCs w:val="20"/>
              </w:rPr>
            </w:pPr>
            <w:r>
              <w:rPr>
                <w:color w:val="auto"/>
                <w:sz w:val="20"/>
                <w:szCs w:val="20"/>
              </w:rPr>
              <w:t>tř. 17. listopadu (OD Tesco)</w:t>
            </w:r>
          </w:p>
        </w:tc>
        <w:tc>
          <w:tcPr>
            <w:tcW w:w="2642" w:type="dxa"/>
          </w:tcPr>
          <w:p w14:paraId="507F1D44" w14:textId="77777777" w:rsidR="00A05041" w:rsidRPr="00393823" w:rsidRDefault="00A05041" w:rsidP="000371C0">
            <w:pPr>
              <w:pStyle w:val="Default"/>
              <w:tabs>
                <w:tab w:val="left" w:pos="540"/>
              </w:tabs>
              <w:suppressAutoHyphens/>
              <w:spacing w:line="252" w:lineRule="auto"/>
              <w:jc w:val="center"/>
              <w:rPr>
                <w:color w:val="auto"/>
                <w:sz w:val="20"/>
                <w:szCs w:val="20"/>
              </w:rPr>
            </w:pPr>
            <w:r>
              <w:rPr>
                <w:color w:val="auto"/>
                <w:sz w:val="20"/>
                <w:szCs w:val="20"/>
              </w:rPr>
              <w:t>1</w:t>
            </w:r>
          </w:p>
        </w:tc>
        <w:tc>
          <w:tcPr>
            <w:tcW w:w="2678" w:type="dxa"/>
          </w:tcPr>
          <w:p w14:paraId="3792A454" w14:textId="77777777" w:rsidR="00A05041" w:rsidRPr="00393823" w:rsidRDefault="00A05041" w:rsidP="000371C0">
            <w:pPr>
              <w:pStyle w:val="Default"/>
              <w:tabs>
                <w:tab w:val="left" w:pos="540"/>
              </w:tabs>
              <w:suppressAutoHyphens/>
              <w:spacing w:line="252" w:lineRule="auto"/>
              <w:jc w:val="center"/>
              <w:rPr>
                <w:color w:val="auto"/>
                <w:sz w:val="20"/>
                <w:szCs w:val="20"/>
              </w:rPr>
            </w:pPr>
            <w:r w:rsidRPr="00393823">
              <w:rPr>
                <w:color w:val="auto"/>
                <w:sz w:val="20"/>
                <w:szCs w:val="20"/>
              </w:rPr>
              <w:t>---</w:t>
            </w:r>
          </w:p>
        </w:tc>
      </w:tr>
    </w:tbl>
    <w:p w14:paraId="7829AB84" w14:textId="77777777" w:rsidR="00A05041" w:rsidRPr="00E11B4E" w:rsidRDefault="00A05041" w:rsidP="00A05041">
      <w:pPr>
        <w:pStyle w:val="Default"/>
        <w:tabs>
          <w:tab w:val="left" w:pos="540"/>
        </w:tabs>
        <w:jc w:val="right"/>
        <w:rPr>
          <w:color w:val="auto"/>
          <w:sz w:val="20"/>
          <w:szCs w:val="20"/>
        </w:rPr>
      </w:pPr>
      <w:r w:rsidRPr="009E354D">
        <w:rPr>
          <w:color w:val="auto"/>
          <w:sz w:val="20"/>
          <w:szCs w:val="20"/>
        </w:rPr>
        <w:t xml:space="preserve">Tabulka č. </w:t>
      </w:r>
      <w:r>
        <w:rPr>
          <w:color w:val="auto"/>
          <w:sz w:val="20"/>
          <w:szCs w:val="20"/>
        </w:rPr>
        <w:t>7</w:t>
      </w:r>
    </w:p>
    <w:p w14:paraId="71A5E2BB" w14:textId="77777777" w:rsidR="00A05041" w:rsidRPr="00E81973" w:rsidRDefault="00A05041" w:rsidP="00A05041">
      <w:pPr>
        <w:pStyle w:val="Default"/>
        <w:tabs>
          <w:tab w:val="left" w:pos="540"/>
        </w:tabs>
        <w:jc w:val="both"/>
        <w:rPr>
          <w:color w:val="auto"/>
        </w:rPr>
      </w:pPr>
    </w:p>
    <w:p w14:paraId="03F822D6" w14:textId="77777777" w:rsidR="00A05041" w:rsidRPr="00735E53" w:rsidRDefault="00A05041" w:rsidP="00A05041">
      <w:pPr>
        <w:pStyle w:val="odst"/>
        <w:numPr>
          <w:ilvl w:val="0"/>
          <w:numId w:val="7"/>
        </w:numPr>
        <w:tabs>
          <w:tab w:val="clear" w:pos="1080"/>
          <w:tab w:val="num" w:pos="567"/>
        </w:tabs>
        <w:ind w:left="567" w:hanging="567"/>
        <w:rPr>
          <w:color w:val="auto"/>
          <w:sz w:val="22"/>
          <w:szCs w:val="22"/>
        </w:rPr>
      </w:pPr>
      <w:r w:rsidRPr="00735E53">
        <w:rPr>
          <w:color w:val="auto"/>
          <w:sz w:val="22"/>
          <w:szCs w:val="22"/>
        </w:rPr>
        <w:t>Uspořádání tržních míst na tržištích podle odst. 1 je uvedeno v grafické příloze č. 1 tohoto nařízení.</w:t>
      </w:r>
    </w:p>
    <w:p w14:paraId="615D2BCE" w14:textId="77777777" w:rsidR="00A05041" w:rsidRPr="00735E53" w:rsidRDefault="00A05041" w:rsidP="00A05041">
      <w:pPr>
        <w:pStyle w:val="odst"/>
        <w:numPr>
          <w:ilvl w:val="0"/>
          <w:numId w:val="7"/>
        </w:numPr>
        <w:ind w:left="540" w:hanging="540"/>
        <w:rPr>
          <w:color w:val="auto"/>
          <w:sz w:val="22"/>
          <w:szCs w:val="22"/>
        </w:rPr>
      </w:pPr>
      <w:r w:rsidRPr="00735E53">
        <w:rPr>
          <w:color w:val="auto"/>
          <w:sz w:val="22"/>
          <w:szCs w:val="22"/>
        </w:rPr>
        <w:t>Označení tržišť se provede podle článku 10 odst. 5 písm. a) tohoto nařízení.</w:t>
      </w:r>
    </w:p>
    <w:p w14:paraId="4E66634A" w14:textId="77777777" w:rsidR="00A05041" w:rsidRDefault="00A05041" w:rsidP="00A05041">
      <w:pPr>
        <w:pStyle w:val="odst"/>
        <w:ind w:left="0" w:firstLine="0"/>
        <w:rPr>
          <w:color w:val="auto"/>
        </w:rPr>
      </w:pPr>
    </w:p>
    <w:p w14:paraId="48FBE579" w14:textId="77777777" w:rsidR="00A05041" w:rsidRPr="00E81973" w:rsidRDefault="00A05041" w:rsidP="00A05041">
      <w:pPr>
        <w:pStyle w:val="Default"/>
        <w:spacing w:before="160"/>
        <w:jc w:val="center"/>
        <w:rPr>
          <w:b/>
          <w:bCs/>
          <w:color w:val="auto"/>
          <w:sz w:val="22"/>
          <w:szCs w:val="28"/>
        </w:rPr>
      </w:pPr>
    </w:p>
    <w:p w14:paraId="029F39C3" w14:textId="77777777" w:rsidR="00A05041" w:rsidRPr="00735E53" w:rsidRDefault="00A05041" w:rsidP="00A05041">
      <w:pPr>
        <w:jc w:val="center"/>
        <w:rPr>
          <w:b/>
          <w:sz w:val="22"/>
          <w:szCs w:val="18"/>
        </w:rPr>
      </w:pPr>
      <w:r w:rsidRPr="00735E53">
        <w:rPr>
          <w:b/>
          <w:sz w:val="22"/>
          <w:szCs w:val="18"/>
        </w:rPr>
        <w:t>Článek 4</w:t>
      </w:r>
    </w:p>
    <w:p w14:paraId="3177A969" w14:textId="77777777" w:rsidR="00A05041" w:rsidRPr="00735E53" w:rsidRDefault="00A05041" w:rsidP="00A05041">
      <w:pPr>
        <w:jc w:val="center"/>
        <w:rPr>
          <w:b/>
          <w:sz w:val="22"/>
          <w:szCs w:val="18"/>
        </w:rPr>
      </w:pPr>
      <w:r w:rsidRPr="00735E53">
        <w:rPr>
          <w:b/>
          <w:sz w:val="22"/>
          <w:szCs w:val="18"/>
        </w:rPr>
        <w:t>Pravidelné farmářské trhy</w:t>
      </w:r>
    </w:p>
    <w:p w14:paraId="56AAE422" w14:textId="77777777" w:rsidR="00A05041" w:rsidRPr="00735E53" w:rsidRDefault="00A05041" w:rsidP="00A05041">
      <w:pPr>
        <w:pStyle w:val="Odstavecseseznamem"/>
        <w:ind w:left="426" w:hanging="426"/>
        <w:jc w:val="both"/>
        <w:rPr>
          <w:sz w:val="18"/>
          <w:szCs w:val="18"/>
        </w:rPr>
      </w:pPr>
      <w:r>
        <w:rPr>
          <w:szCs w:val="24"/>
        </w:rPr>
        <w:t xml:space="preserve">(1)  </w:t>
      </w:r>
      <w:r w:rsidRPr="00735E53">
        <w:rPr>
          <w:sz w:val="22"/>
          <w:szCs w:val="18"/>
        </w:rPr>
        <w:t>Pravidelné farmářské trhy lze konat ve čtvrtek v příslušném kalendářním měsíci, a to v období od 9. ledna do 9. listopadu kalendářního roku v čase od 8,00 do 17,00 hodin. Pravidelné farmářské trhy nelze konat ve dnech, kdy jsou v lokalitě náměstí T. G. Masaryka pořádány městské jarmarky nebo městské slavnosti.</w:t>
      </w:r>
    </w:p>
    <w:p w14:paraId="74FEC5AA" w14:textId="77777777" w:rsidR="00A05041" w:rsidRPr="00735E53" w:rsidRDefault="00A05041" w:rsidP="00A05041">
      <w:pPr>
        <w:tabs>
          <w:tab w:val="left" w:pos="567"/>
        </w:tabs>
        <w:autoSpaceDE w:val="0"/>
        <w:autoSpaceDN w:val="0"/>
        <w:adjustRightInd w:val="0"/>
        <w:spacing w:before="40"/>
        <w:ind w:left="567" w:hanging="567"/>
        <w:rPr>
          <w:sz w:val="22"/>
          <w:szCs w:val="22"/>
        </w:rPr>
      </w:pPr>
    </w:p>
    <w:p w14:paraId="6CF1F860" w14:textId="77777777" w:rsidR="00A05041" w:rsidRDefault="00A05041" w:rsidP="00A05041">
      <w:pPr>
        <w:autoSpaceDE w:val="0"/>
        <w:autoSpaceDN w:val="0"/>
        <w:adjustRightInd w:val="0"/>
        <w:spacing w:before="40"/>
        <w:ind w:left="426" w:hanging="426"/>
        <w:rPr>
          <w:sz w:val="22"/>
          <w:szCs w:val="22"/>
        </w:rPr>
      </w:pPr>
      <w:r w:rsidRPr="00735E53">
        <w:rPr>
          <w:sz w:val="22"/>
          <w:szCs w:val="22"/>
        </w:rPr>
        <w:t xml:space="preserve">(2)   </w:t>
      </w:r>
      <w:r w:rsidRPr="00735E53">
        <w:rPr>
          <w:sz w:val="22"/>
          <w:szCs w:val="22"/>
        </w:rPr>
        <w:tab/>
        <w:t>Na pravidelných farmářských trzích lze prodávat ovoce, zeleninu a výrobky z nich (např.  šťávy, mošty, zavařeniny, sirupy, džemy a marmelády), sušené ovoce a zeleninu, potraviny, byliny, koření</w:t>
      </w:r>
      <w:r>
        <w:rPr>
          <w:sz w:val="22"/>
          <w:szCs w:val="22"/>
        </w:rPr>
        <w:t xml:space="preserve">, </w:t>
      </w:r>
      <w:r w:rsidRPr="007F76D5">
        <w:rPr>
          <w:sz w:val="22"/>
          <w:szCs w:val="22"/>
        </w:rPr>
        <w:t>čaj a kávu, vejce</w:t>
      </w:r>
      <w:r w:rsidRPr="00735E53">
        <w:rPr>
          <w:sz w:val="22"/>
          <w:szCs w:val="22"/>
        </w:rPr>
        <w:t>, pečivo, perníky, med a včelí produkty, víno, pivo, lihoviny, květiny a sadbu, věnce, jmelí, přírodní kosmetické přípravky, rukodělné a řemeslné výrobky. Pro konání pravidelných farmářských trhů se stanovuje umístění, kapacita a vybavenost tržiště takto:</w:t>
      </w:r>
    </w:p>
    <w:p w14:paraId="19D27130" w14:textId="77777777" w:rsidR="00A05041" w:rsidRPr="00735E53" w:rsidRDefault="00A05041" w:rsidP="00A05041">
      <w:pPr>
        <w:autoSpaceDE w:val="0"/>
        <w:autoSpaceDN w:val="0"/>
        <w:adjustRightInd w:val="0"/>
        <w:spacing w:before="40"/>
        <w:ind w:left="426" w:hanging="426"/>
        <w:rPr>
          <w:sz w:val="22"/>
          <w:szCs w:val="22"/>
        </w:rPr>
      </w:pPr>
    </w:p>
    <w:p w14:paraId="394D1116" w14:textId="77777777" w:rsidR="00A05041" w:rsidRPr="000171D1" w:rsidRDefault="00A05041" w:rsidP="00A05041">
      <w:pPr>
        <w:ind w:left="360"/>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2614"/>
        <w:gridCol w:w="2729"/>
      </w:tblGrid>
      <w:tr w:rsidR="00A05041" w:rsidRPr="000171D1" w14:paraId="4518EE3D" w14:textId="77777777" w:rsidTr="000371C0">
        <w:tc>
          <w:tcPr>
            <w:tcW w:w="3298" w:type="dxa"/>
            <w:shd w:val="clear" w:color="auto" w:fill="auto"/>
          </w:tcPr>
          <w:p w14:paraId="5C9539E1" w14:textId="77777777" w:rsidR="00A05041" w:rsidRPr="00393823" w:rsidRDefault="00A05041" w:rsidP="000371C0">
            <w:pPr>
              <w:jc w:val="center"/>
              <w:rPr>
                <w:rFonts w:eastAsia="Calibri"/>
                <w:b/>
                <w:sz w:val="20"/>
              </w:rPr>
            </w:pPr>
            <w:r w:rsidRPr="00393823">
              <w:rPr>
                <w:rFonts w:eastAsia="Calibri"/>
                <w:b/>
                <w:sz w:val="20"/>
              </w:rPr>
              <w:t>Lokalita</w:t>
            </w:r>
          </w:p>
        </w:tc>
        <w:tc>
          <w:tcPr>
            <w:tcW w:w="2614" w:type="dxa"/>
            <w:shd w:val="clear" w:color="auto" w:fill="auto"/>
          </w:tcPr>
          <w:p w14:paraId="63DA521D" w14:textId="77777777" w:rsidR="00A05041" w:rsidRPr="00393823" w:rsidRDefault="00A05041" w:rsidP="000371C0">
            <w:pPr>
              <w:jc w:val="center"/>
              <w:rPr>
                <w:rFonts w:eastAsia="Calibri"/>
                <w:b/>
                <w:sz w:val="20"/>
              </w:rPr>
            </w:pPr>
            <w:r w:rsidRPr="00393823">
              <w:rPr>
                <w:rFonts w:eastAsia="Calibri"/>
                <w:b/>
                <w:sz w:val="20"/>
              </w:rPr>
              <w:t>Kapacita tržních míst</w:t>
            </w:r>
          </w:p>
        </w:tc>
        <w:tc>
          <w:tcPr>
            <w:tcW w:w="2729" w:type="dxa"/>
            <w:shd w:val="clear" w:color="auto" w:fill="auto"/>
          </w:tcPr>
          <w:p w14:paraId="498D1985" w14:textId="77777777" w:rsidR="00A05041" w:rsidRPr="00393823" w:rsidRDefault="00A05041" w:rsidP="000371C0">
            <w:pPr>
              <w:jc w:val="center"/>
              <w:rPr>
                <w:rFonts w:eastAsia="Calibri"/>
                <w:b/>
                <w:sz w:val="20"/>
              </w:rPr>
            </w:pPr>
            <w:r w:rsidRPr="00393823">
              <w:rPr>
                <w:rFonts w:eastAsia="Calibri"/>
                <w:b/>
                <w:sz w:val="20"/>
              </w:rPr>
              <w:t>Vybavenost</w:t>
            </w:r>
          </w:p>
        </w:tc>
      </w:tr>
      <w:tr w:rsidR="00A05041" w:rsidRPr="000171D1" w14:paraId="6ADBC47C" w14:textId="77777777" w:rsidTr="000371C0">
        <w:tc>
          <w:tcPr>
            <w:tcW w:w="3298" w:type="dxa"/>
            <w:shd w:val="clear" w:color="auto" w:fill="auto"/>
          </w:tcPr>
          <w:p w14:paraId="68787BB7" w14:textId="77777777" w:rsidR="00A05041" w:rsidRPr="00393823" w:rsidRDefault="00A05041" w:rsidP="000371C0">
            <w:pPr>
              <w:rPr>
                <w:rFonts w:eastAsia="Calibri"/>
                <w:sz w:val="20"/>
              </w:rPr>
            </w:pPr>
            <w:r w:rsidRPr="00393823">
              <w:rPr>
                <w:rFonts w:eastAsia="Calibri"/>
                <w:sz w:val="20"/>
              </w:rPr>
              <w:t>Náměstí T. G. Masaryka</w:t>
            </w:r>
          </w:p>
        </w:tc>
        <w:tc>
          <w:tcPr>
            <w:tcW w:w="2614" w:type="dxa"/>
            <w:shd w:val="clear" w:color="auto" w:fill="auto"/>
          </w:tcPr>
          <w:p w14:paraId="712F0859" w14:textId="77777777" w:rsidR="00A05041" w:rsidRPr="00393823" w:rsidRDefault="00A05041" w:rsidP="000371C0">
            <w:pPr>
              <w:jc w:val="center"/>
              <w:rPr>
                <w:rFonts w:eastAsia="Calibri"/>
                <w:sz w:val="20"/>
              </w:rPr>
            </w:pPr>
            <w:r w:rsidRPr="00393823">
              <w:rPr>
                <w:rFonts w:eastAsia="Calibri"/>
                <w:sz w:val="20"/>
              </w:rPr>
              <w:t>40</w:t>
            </w:r>
          </w:p>
        </w:tc>
        <w:tc>
          <w:tcPr>
            <w:tcW w:w="2729" w:type="dxa"/>
            <w:shd w:val="clear" w:color="auto" w:fill="auto"/>
          </w:tcPr>
          <w:p w14:paraId="34603B9D" w14:textId="77777777" w:rsidR="00A05041" w:rsidRPr="00393823" w:rsidRDefault="00A05041" w:rsidP="000371C0">
            <w:pPr>
              <w:jc w:val="center"/>
              <w:rPr>
                <w:rFonts w:eastAsia="Calibri"/>
                <w:sz w:val="20"/>
              </w:rPr>
            </w:pPr>
            <w:r w:rsidRPr="00393823">
              <w:rPr>
                <w:rFonts w:eastAsia="Calibri"/>
                <w:sz w:val="20"/>
              </w:rPr>
              <w:t>---</w:t>
            </w:r>
          </w:p>
        </w:tc>
      </w:tr>
    </w:tbl>
    <w:p w14:paraId="0C0DA9B5" w14:textId="77777777" w:rsidR="00A05041" w:rsidRPr="000171D1" w:rsidRDefault="00A05041" w:rsidP="00A05041">
      <w:pPr>
        <w:ind w:left="360"/>
        <w:jc w:val="right"/>
        <w:rPr>
          <w:sz w:val="20"/>
        </w:rPr>
      </w:pPr>
      <w:r w:rsidRPr="000171D1">
        <w:rPr>
          <w:sz w:val="20"/>
        </w:rPr>
        <w:t xml:space="preserve">Tabulka č. </w:t>
      </w:r>
      <w:r>
        <w:rPr>
          <w:sz w:val="20"/>
        </w:rPr>
        <w:t>8</w:t>
      </w:r>
    </w:p>
    <w:p w14:paraId="03344486" w14:textId="77777777" w:rsidR="00A05041" w:rsidRDefault="00A05041" w:rsidP="00A05041">
      <w:pPr>
        <w:rPr>
          <w:szCs w:val="24"/>
        </w:rPr>
      </w:pPr>
    </w:p>
    <w:p w14:paraId="07356BE6" w14:textId="77777777" w:rsidR="00A05041" w:rsidRPr="00F246A4" w:rsidRDefault="00A05041" w:rsidP="00A05041">
      <w:pPr>
        <w:ind w:left="426" w:hanging="426"/>
        <w:rPr>
          <w:sz w:val="22"/>
          <w:szCs w:val="22"/>
        </w:rPr>
      </w:pPr>
      <w:r>
        <w:rPr>
          <w:szCs w:val="24"/>
        </w:rPr>
        <w:t xml:space="preserve">(3)  </w:t>
      </w:r>
      <w:r w:rsidRPr="00F246A4">
        <w:rPr>
          <w:sz w:val="22"/>
          <w:szCs w:val="22"/>
        </w:rPr>
        <w:t>Uspořádání tržních míst na tržišti podle odst. 2 je uvedeno v grafické příloze č. 2 tohoto nařízení.</w:t>
      </w:r>
    </w:p>
    <w:p w14:paraId="27791845" w14:textId="77777777" w:rsidR="00A05041" w:rsidRPr="00F246A4" w:rsidRDefault="00A05041" w:rsidP="00A05041">
      <w:pPr>
        <w:pStyle w:val="odst"/>
        <w:ind w:left="567" w:firstLine="0"/>
        <w:rPr>
          <w:color w:val="auto"/>
          <w:sz w:val="22"/>
          <w:szCs w:val="22"/>
        </w:rPr>
      </w:pPr>
    </w:p>
    <w:p w14:paraId="6BA4E4FF" w14:textId="77777777" w:rsidR="00A05041" w:rsidRPr="00F246A4" w:rsidRDefault="00A05041" w:rsidP="00A05041">
      <w:pPr>
        <w:pStyle w:val="odst"/>
        <w:ind w:left="0" w:firstLine="0"/>
        <w:rPr>
          <w:color w:val="auto"/>
          <w:sz w:val="22"/>
          <w:szCs w:val="22"/>
        </w:rPr>
      </w:pPr>
    </w:p>
    <w:p w14:paraId="2FF208B4" w14:textId="77777777" w:rsidR="00A05041" w:rsidRPr="00F246A4" w:rsidRDefault="00A05041" w:rsidP="00A05041">
      <w:pPr>
        <w:jc w:val="center"/>
        <w:rPr>
          <w:b/>
          <w:sz w:val="22"/>
          <w:szCs w:val="18"/>
        </w:rPr>
      </w:pPr>
      <w:r w:rsidRPr="00F246A4">
        <w:rPr>
          <w:b/>
          <w:sz w:val="22"/>
          <w:szCs w:val="18"/>
        </w:rPr>
        <w:t>Článek 5</w:t>
      </w:r>
    </w:p>
    <w:p w14:paraId="7344BF93" w14:textId="77777777" w:rsidR="00A05041" w:rsidRPr="00F246A4" w:rsidRDefault="00A05041" w:rsidP="00A05041">
      <w:pPr>
        <w:jc w:val="center"/>
        <w:rPr>
          <w:b/>
          <w:sz w:val="22"/>
          <w:szCs w:val="18"/>
        </w:rPr>
      </w:pPr>
      <w:r w:rsidRPr="00F246A4">
        <w:rPr>
          <w:b/>
          <w:sz w:val="22"/>
          <w:szCs w:val="18"/>
        </w:rPr>
        <w:t>Jednorázové akce, městské jarmarky, městské slavnosti a vánoční trhy</w:t>
      </w:r>
    </w:p>
    <w:p w14:paraId="2F76509B" w14:textId="77777777" w:rsidR="00A05041" w:rsidRPr="00F246A4" w:rsidRDefault="00A05041" w:rsidP="00A05041">
      <w:pPr>
        <w:rPr>
          <w:sz w:val="22"/>
          <w:szCs w:val="18"/>
        </w:rPr>
      </w:pPr>
    </w:p>
    <w:p w14:paraId="68FF1ADB" w14:textId="77777777" w:rsidR="00A05041" w:rsidRPr="00F246A4" w:rsidRDefault="00A05041" w:rsidP="00A05041">
      <w:pPr>
        <w:tabs>
          <w:tab w:val="left" w:pos="1134"/>
        </w:tabs>
        <w:autoSpaceDE w:val="0"/>
        <w:autoSpaceDN w:val="0"/>
        <w:adjustRightInd w:val="0"/>
        <w:spacing w:before="40"/>
        <w:ind w:left="426" w:hanging="426"/>
        <w:rPr>
          <w:sz w:val="22"/>
          <w:szCs w:val="22"/>
        </w:rPr>
      </w:pPr>
      <w:r w:rsidRPr="00F246A4">
        <w:rPr>
          <w:sz w:val="22"/>
          <w:szCs w:val="22"/>
        </w:rPr>
        <w:t xml:space="preserve">(1)  Pro konání jednorázových akcí spojených s prodejem zboží nebo poskytováním služeb (slavnosti, sportovní a kulturní akce, jarmark apod.) se stanovuje umístění, kapacita a vybavenost tržišť takto: </w:t>
      </w:r>
    </w:p>
    <w:p w14:paraId="1DB62784" w14:textId="77777777" w:rsidR="00A05041" w:rsidRPr="002D28E9" w:rsidRDefault="00A05041" w:rsidP="00A05041">
      <w:pPr>
        <w:tabs>
          <w:tab w:val="left" w:pos="1134"/>
        </w:tabs>
        <w:ind w:left="1134" w:hanging="425"/>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2613"/>
        <w:gridCol w:w="2728"/>
      </w:tblGrid>
      <w:tr w:rsidR="00A05041" w:rsidRPr="002D28E9" w14:paraId="1667EBCA" w14:textId="77777777" w:rsidTr="000371C0">
        <w:tc>
          <w:tcPr>
            <w:tcW w:w="3300" w:type="dxa"/>
            <w:shd w:val="clear" w:color="auto" w:fill="auto"/>
          </w:tcPr>
          <w:p w14:paraId="7016B244" w14:textId="77777777" w:rsidR="00A05041" w:rsidRPr="00274D6B" w:rsidRDefault="00A05041" w:rsidP="000371C0">
            <w:pPr>
              <w:tabs>
                <w:tab w:val="left" w:pos="1134"/>
              </w:tabs>
              <w:jc w:val="center"/>
              <w:rPr>
                <w:rFonts w:eastAsia="Calibri"/>
                <w:b/>
                <w:sz w:val="20"/>
              </w:rPr>
            </w:pPr>
            <w:r w:rsidRPr="00274D6B">
              <w:rPr>
                <w:rFonts w:eastAsia="Calibri"/>
                <w:b/>
                <w:sz w:val="20"/>
              </w:rPr>
              <w:t>Lokalita</w:t>
            </w:r>
          </w:p>
        </w:tc>
        <w:tc>
          <w:tcPr>
            <w:tcW w:w="2613" w:type="dxa"/>
            <w:shd w:val="clear" w:color="auto" w:fill="auto"/>
          </w:tcPr>
          <w:p w14:paraId="31C1C733" w14:textId="77777777" w:rsidR="00A05041" w:rsidRPr="00274D6B" w:rsidRDefault="00A05041" w:rsidP="000371C0">
            <w:pPr>
              <w:tabs>
                <w:tab w:val="left" w:pos="1134"/>
              </w:tabs>
              <w:jc w:val="center"/>
              <w:rPr>
                <w:rFonts w:eastAsia="Calibri"/>
                <w:b/>
                <w:sz w:val="20"/>
              </w:rPr>
            </w:pPr>
            <w:r w:rsidRPr="00274D6B">
              <w:rPr>
                <w:rFonts w:eastAsia="Calibri"/>
                <w:b/>
                <w:sz w:val="20"/>
              </w:rPr>
              <w:t>Kapacita tržních míst</w:t>
            </w:r>
          </w:p>
        </w:tc>
        <w:tc>
          <w:tcPr>
            <w:tcW w:w="2728" w:type="dxa"/>
            <w:shd w:val="clear" w:color="auto" w:fill="auto"/>
          </w:tcPr>
          <w:p w14:paraId="7203C9F7" w14:textId="77777777" w:rsidR="00A05041" w:rsidRPr="00274D6B" w:rsidRDefault="00A05041" w:rsidP="000371C0">
            <w:pPr>
              <w:tabs>
                <w:tab w:val="left" w:pos="1134"/>
              </w:tabs>
              <w:jc w:val="center"/>
              <w:rPr>
                <w:rFonts w:eastAsia="Calibri"/>
                <w:b/>
                <w:sz w:val="20"/>
              </w:rPr>
            </w:pPr>
            <w:r w:rsidRPr="00274D6B">
              <w:rPr>
                <w:rFonts w:eastAsia="Calibri"/>
                <w:b/>
                <w:sz w:val="20"/>
              </w:rPr>
              <w:t>Vybavenost</w:t>
            </w:r>
          </w:p>
        </w:tc>
      </w:tr>
      <w:tr w:rsidR="00A05041" w:rsidRPr="002D28E9" w14:paraId="386D20B0" w14:textId="77777777" w:rsidTr="000371C0">
        <w:tc>
          <w:tcPr>
            <w:tcW w:w="3300" w:type="dxa"/>
            <w:shd w:val="clear" w:color="auto" w:fill="auto"/>
          </w:tcPr>
          <w:p w14:paraId="2BCD5CF5" w14:textId="77777777" w:rsidR="00A05041" w:rsidRPr="00274D6B" w:rsidRDefault="00A05041" w:rsidP="000371C0">
            <w:pPr>
              <w:tabs>
                <w:tab w:val="left" w:pos="1134"/>
              </w:tabs>
              <w:rPr>
                <w:rFonts w:eastAsia="Calibri"/>
                <w:sz w:val="20"/>
              </w:rPr>
            </w:pPr>
            <w:r w:rsidRPr="00274D6B">
              <w:rPr>
                <w:rFonts w:eastAsia="Calibri"/>
                <w:sz w:val="20"/>
              </w:rPr>
              <w:t xml:space="preserve">Horní náměstí </w:t>
            </w:r>
          </w:p>
        </w:tc>
        <w:tc>
          <w:tcPr>
            <w:tcW w:w="2613" w:type="dxa"/>
            <w:shd w:val="clear" w:color="auto" w:fill="auto"/>
          </w:tcPr>
          <w:p w14:paraId="0073DBCE" w14:textId="77777777" w:rsidR="00A05041" w:rsidRPr="00274D6B" w:rsidRDefault="00A05041" w:rsidP="000371C0">
            <w:pPr>
              <w:tabs>
                <w:tab w:val="left" w:pos="1134"/>
              </w:tabs>
              <w:jc w:val="center"/>
              <w:rPr>
                <w:rFonts w:eastAsia="Calibri"/>
                <w:sz w:val="20"/>
              </w:rPr>
            </w:pPr>
            <w:r w:rsidRPr="00274D6B">
              <w:rPr>
                <w:rFonts w:eastAsia="Calibri"/>
                <w:sz w:val="20"/>
              </w:rPr>
              <w:t>60</w:t>
            </w:r>
          </w:p>
        </w:tc>
        <w:tc>
          <w:tcPr>
            <w:tcW w:w="2728" w:type="dxa"/>
            <w:shd w:val="clear" w:color="auto" w:fill="auto"/>
          </w:tcPr>
          <w:p w14:paraId="77C4152C" w14:textId="77777777" w:rsidR="00A05041" w:rsidRPr="00274D6B" w:rsidRDefault="00A05041" w:rsidP="000371C0">
            <w:pPr>
              <w:tabs>
                <w:tab w:val="left" w:pos="1134"/>
              </w:tabs>
              <w:jc w:val="center"/>
              <w:rPr>
                <w:rFonts w:eastAsia="Calibri"/>
                <w:sz w:val="20"/>
              </w:rPr>
            </w:pPr>
            <w:r w:rsidRPr="00274D6B">
              <w:rPr>
                <w:rFonts w:eastAsia="Calibri"/>
                <w:sz w:val="20"/>
              </w:rPr>
              <w:t>---</w:t>
            </w:r>
          </w:p>
        </w:tc>
      </w:tr>
      <w:tr w:rsidR="00A05041" w:rsidRPr="002D28E9" w14:paraId="65F77473" w14:textId="77777777" w:rsidTr="000371C0">
        <w:tc>
          <w:tcPr>
            <w:tcW w:w="3300" w:type="dxa"/>
            <w:shd w:val="clear" w:color="auto" w:fill="auto"/>
          </w:tcPr>
          <w:p w14:paraId="4D8BCDF0" w14:textId="77777777" w:rsidR="00A05041" w:rsidRPr="00274D6B" w:rsidRDefault="00A05041" w:rsidP="000371C0">
            <w:pPr>
              <w:tabs>
                <w:tab w:val="left" w:pos="1134"/>
              </w:tabs>
              <w:rPr>
                <w:rFonts w:eastAsia="Calibri"/>
                <w:sz w:val="20"/>
              </w:rPr>
            </w:pPr>
            <w:r w:rsidRPr="00274D6B">
              <w:rPr>
                <w:rFonts w:eastAsia="Calibri"/>
                <w:sz w:val="20"/>
              </w:rPr>
              <w:t>Žerotínovo náměstí</w:t>
            </w:r>
          </w:p>
        </w:tc>
        <w:tc>
          <w:tcPr>
            <w:tcW w:w="2613" w:type="dxa"/>
            <w:shd w:val="clear" w:color="auto" w:fill="auto"/>
          </w:tcPr>
          <w:p w14:paraId="07684D67" w14:textId="77777777" w:rsidR="00A05041" w:rsidRPr="00274D6B" w:rsidRDefault="00A05041" w:rsidP="000371C0">
            <w:pPr>
              <w:tabs>
                <w:tab w:val="left" w:pos="1134"/>
              </w:tabs>
              <w:jc w:val="center"/>
              <w:rPr>
                <w:rFonts w:eastAsia="Calibri"/>
                <w:sz w:val="20"/>
              </w:rPr>
            </w:pPr>
            <w:r w:rsidRPr="00274D6B">
              <w:rPr>
                <w:rFonts w:eastAsia="Calibri"/>
                <w:sz w:val="20"/>
              </w:rPr>
              <w:t>20</w:t>
            </w:r>
          </w:p>
        </w:tc>
        <w:tc>
          <w:tcPr>
            <w:tcW w:w="2728" w:type="dxa"/>
            <w:shd w:val="clear" w:color="auto" w:fill="auto"/>
          </w:tcPr>
          <w:p w14:paraId="476E1A65" w14:textId="77777777" w:rsidR="00A05041" w:rsidRPr="00274D6B" w:rsidRDefault="00A05041" w:rsidP="000371C0">
            <w:pPr>
              <w:tabs>
                <w:tab w:val="left" w:pos="1134"/>
              </w:tabs>
              <w:jc w:val="center"/>
              <w:rPr>
                <w:rFonts w:eastAsia="Calibri"/>
                <w:sz w:val="20"/>
              </w:rPr>
            </w:pPr>
            <w:r w:rsidRPr="00274D6B">
              <w:rPr>
                <w:rFonts w:eastAsia="Calibri"/>
                <w:sz w:val="20"/>
              </w:rPr>
              <w:t>---</w:t>
            </w:r>
          </w:p>
        </w:tc>
      </w:tr>
      <w:tr w:rsidR="00A05041" w:rsidRPr="002D28E9" w14:paraId="4D70B9E1" w14:textId="77777777" w:rsidTr="000371C0">
        <w:tc>
          <w:tcPr>
            <w:tcW w:w="3300" w:type="dxa"/>
            <w:shd w:val="clear" w:color="auto" w:fill="auto"/>
          </w:tcPr>
          <w:p w14:paraId="613B3EDC" w14:textId="77777777" w:rsidR="00A05041" w:rsidRPr="00274D6B" w:rsidRDefault="00A05041" w:rsidP="000371C0">
            <w:pPr>
              <w:tabs>
                <w:tab w:val="left" w:pos="1134"/>
              </w:tabs>
              <w:rPr>
                <w:rFonts w:eastAsia="Calibri"/>
                <w:sz w:val="20"/>
              </w:rPr>
            </w:pPr>
            <w:r w:rsidRPr="00274D6B">
              <w:rPr>
                <w:rFonts w:eastAsia="Calibri"/>
                <w:sz w:val="20"/>
              </w:rPr>
              <w:t>náměstí Svobody</w:t>
            </w:r>
          </w:p>
        </w:tc>
        <w:tc>
          <w:tcPr>
            <w:tcW w:w="2613" w:type="dxa"/>
            <w:shd w:val="clear" w:color="auto" w:fill="auto"/>
          </w:tcPr>
          <w:p w14:paraId="38E76B05" w14:textId="77777777" w:rsidR="00A05041" w:rsidRPr="00274D6B" w:rsidRDefault="00A05041" w:rsidP="000371C0">
            <w:pPr>
              <w:tabs>
                <w:tab w:val="left" w:pos="1134"/>
              </w:tabs>
              <w:jc w:val="center"/>
              <w:rPr>
                <w:rFonts w:eastAsia="Calibri"/>
                <w:sz w:val="20"/>
              </w:rPr>
            </w:pPr>
            <w:r w:rsidRPr="00274D6B">
              <w:rPr>
                <w:rFonts w:eastAsia="Calibri"/>
                <w:sz w:val="20"/>
              </w:rPr>
              <w:t>30</w:t>
            </w:r>
          </w:p>
        </w:tc>
        <w:tc>
          <w:tcPr>
            <w:tcW w:w="2728" w:type="dxa"/>
            <w:shd w:val="clear" w:color="auto" w:fill="auto"/>
          </w:tcPr>
          <w:p w14:paraId="21016447" w14:textId="77777777" w:rsidR="00A05041" w:rsidRPr="00274D6B" w:rsidRDefault="00A05041" w:rsidP="000371C0">
            <w:pPr>
              <w:tabs>
                <w:tab w:val="left" w:pos="1134"/>
              </w:tabs>
              <w:jc w:val="center"/>
              <w:rPr>
                <w:rFonts w:eastAsia="Calibri"/>
                <w:sz w:val="20"/>
              </w:rPr>
            </w:pPr>
            <w:r w:rsidRPr="00274D6B">
              <w:rPr>
                <w:rFonts w:eastAsia="Calibri"/>
                <w:sz w:val="20"/>
              </w:rPr>
              <w:t>---</w:t>
            </w:r>
          </w:p>
        </w:tc>
      </w:tr>
    </w:tbl>
    <w:p w14:paraId="7897CE84" w14:textId="77777777" w:rsidR="00A05041" w:rsidRDefault="00A05041" w:rsidP="00A05041">
      <w:pPr>
        <w:tabs>
          <w:tab w:val="left" w:pos="1134"/>
        </w:tabs>
        <w:ind w:left="1134" w:hanging="425"/>
        <w:jc w:val="right"/>
        <w:rPr>
          <w:sz w:val="20"/>
        </w:rPr>
      </w:pPr>
      <w:r w:rsidRPr="002D28E9">
        <w:rPr>
          <w:sz w:val="20"/>
        </w:rPr>
        <w:t xml:space="preserve">Tabulka č. </w:t>
      </w:r>
      <w:r>
        <w:rPr>
          <w:sz w:val="20"/>
        </w:rPr>
        <w:t>9</w:t>
      </w:r>
    </w:p>
    <w:p w14:paraId="72DA9FBA" w14:textId="77777777" w:rsidR="00A05041" w:rsidRPr="00446B37" w:rsidRDefault="00A05041" w:rsidP="00A05041">
      <w:pPr>
        <w:tabs>
          <w:tab w:val="left" w:pos="1134"/>
        </w:tabs>
        <w:ind w:left="1134" w:hanging="425"/>
        <w:jc w:val="right"/>
        <w:rPr>
          <w:sz w:val="20"/>
        </w:rPr>
      </w:pPr>
    </w:p>
    <w:p w14:paraId="482E937D" w14:textId="77777777" w:rsidR="00A05041" w:rsidRPr="00F246A4" w:rsidRDefault="00A05041" w:rsidP="00A05041">
      <w:pPr>
        <w:numPr>
          <w:ilvl w:val="0"/>
          <w:numId w:val="2"/>
        </w:numPr>
        <w:tabs>
          <w:tab w:val="left" w:pos="426"/>
          <w:tab w:val="num" w:pos="567"/>
        </w:tabs>
        <w:ind w:left="426" w:hanging="426"/>
        <w:contextualSpacing/>
        <w:rPr>
          <w:sz w:val="22"/>
          <w:szCs w:val="22"/>
        </w:rPr>
      </w:pPr>
      <w:r w:rsidRPr="00F246A4">
        <w:rPr>
          <w:sz w:val="22"/>
          <w:szCs w:val="22"/>
        </w:rPr>
        <w:t>Pro konání městských jarmarků a městských slavností se stanovuje umístění, kapacita a vybavenost tržišť takto:</w:t>
      </w:r>
    </w:p>
    <w:p w14:paraId="3DDCF20F" w14:textId="77777777" w:rsidR="00A05041" w:rsidRPr="002D28E9" w:rsidRDefault="00A05041" w:rsidP="00A05041">
      <w:pPr>
        <w:tabs>
          <w:tab w:val="num" w:pos="567"/>
          <w:tab w:val="left" w:pos="1134"/>
        </w:tabs>
        <w:ind w:left="1134" w:hanging="425"/>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611"/>
        <w:gridCol w:w="2735"/>
      </w:tblGrid>
      <w:tr w:rsidR="00A05041" w:rsidRPr="002D28E9" w14:paraId="2DC994C4" w14:textId="77777777" w:rsidTr="000371C0">
        <w:tc>
          <w:tcPr>
            <w:tcW w:w="3295" w:type="dxa"/>
            <w:shd w:val="clear" w:color="auto" w:fill="auto"/>
          </w:tcPr>
          <w:p w14:paraId="603F0682" w14:textId="77777777" w:rsidR="00A05041" w:rsidRPr="00274D6B" w:rsidRDefault="00A05041" w:rsidP="000371C0">
            <w:pPr>
              <w:tabs>
                <w:tab w:val="left" w:pos="1134"/>
              </w:tabs>
              <w:jc w:val="center"/>
              <w:rPr>
                <w:rFonts w:eastAsia="Calibri"/>
                <w:b/>
                <w:sz w:val="20"/>
              </w:rPr>
            </w:pPr>
            <w:r w:rsidRPr="00274D6B">
              <w:rPr>
                <w:rFonts w:eastAsia="Calibri"/>
                <w:b/>
                <w:sz w:val="20"/>
              </w:rPr>
              <w:t>Lokalita</w:t>
            </w:r>
          </w:p>
        </w:tc>
        <w:tc>
          <w:tcPr>
            <w:tcW w:w="2611" w:type="dxa"/>
            <w:shd w:val="clear" w:color="auto" w:fill="auto"/>
          </w:tcPr>
          <w:p w14:paraId="6CE999FE" w14:textId="77777777" w:rsidR="00A05041" w:rsidRPr="00274D6B" w:rsidRDefault="00A05041" w:rsidP="000371C0">
            <w:pPr>
              <w:tabs>
                <w:tab w:val="left" w:pos="1134"/>
              </w:tabs>
              <w:jc w:val="center"/>
              <w:rPr>
                <w:rFonts w:eastAsia="Calibri"/>
                <w:b/>
                <w:sz w:val="20"/>
              </w:rPr>
            </w:pPr>
            <w:r w:rsidRPr="00274D6B">
              <w:rPr>
                <w:rFonts w:eastAsia="Calibri"/>
                <w:b/>
                <w:sz w:val="20"/>
              </w:rPr>
              <w:t>Kapacita tržních míst</w:t>
            </w:r>
          </w:p>
        </w:tc>
        <w:tc>
          <w:tcPr>
            <w:tcW w:w="2735" w:type="dxa"/>
            <w:shd w:val="clear" w:color="auto" w:fill="auto"/>
          </w:tcPr>
          <w:p w14:paraId="58C58D46" w14:textId="77777777" w:rsidR="00A05041" w:rsidRPr="00274D6B" w:rsidRDefault="00A05041" w:rsidP="000371C0">
            <w:pPr>
              <w:tabs>
                <w:tab w:val="left" w:pos="1134"/>
              </w:tabs>
              <w:jc w:val="center"/>
              <w:rPr>
                <w:rFonts w:eastAsia="Calibri"/>
                <w:b/>
                <w:sz w:val="20"/>
              </w:rPr>
            </w:pPr>
            <w:r w:rsidRPr="00274D6B">
              <w:rPr>
                <w:rFonts w:eastAsia="Calibri"/>
                <w:b/>
                <w:sz w:val="20"/>
              </w:rPr>
              <w:t>Vybavenost</w:t>
            </w:r>
          </w:p>
        </w:tc>
      </w:tr>
      <w:tr w:rsidR="00A05041" w:rsidRPr="002D28E9" w14:paraId="4BC1542B" w14:textId="77777777" w:rsidTr="000371C0">
        <w:tc>
          <w:tcPr>
            <w:tcW w:w="3295" w:type="dxa"/>
            <w:shd w:val="clear" w:color="auto" w:fill="auto"/>
          </w:tcPr>
          <w:p w14:paraId="295CF0FB" w14:textId="77777777" w:rsidR="00A05041" w:rsidRPr="00274D6B" w:rsidRDefault="00A05041" w:rsidP="000371C0">
            <w:pPr>
              <w:tabs>
                <w:tab w:val="left" w:pos="1134"/>
              </w:tabs>
              <w:rPr>
                <w:rFonts w:eastAsia="Calibri"/>
                <w:sz w:val="20"/>
              </w:rPr>
            </w:pPr>
            <w:r w:rsidRPr="00274D6B">
              <w:rPr>
                <w:rFonts w:eastAsia="Calibri"/>
                <w:sz w:val="20"/>
              </w:rPr>
              <w:t xml:space="preserve">Náměstí T. G. Masaryka </w:t>
            </w:r>
          </w:p>
        </w:tc>
        <w:tc>
          <w:tcPr>
            <w:tcW w:w="2611" w:type="dxa"/>
            <w:shd w:val="clear" w:color="auto" w:fill="auto"/>
          </w:tcPr>
          <w:p w14:paraId="6D95957D" w14:textId="77777777" w:rsidR="00A05041" w:rsidRPr="00274D6B" w:rsidRDefault="00A05041" w:rsidP="000371C0">
            <w:pPr>
              <w:tabs>
                <w:tab w:val="left" w:pos="1134"/>
              </w:tabs>
              <w:jc w:val="center"/>
              <w:rPr>
                <w:rFonts w:eastAsia="Calibri"/>
                <w:sz w:val="20"/>
              </w:rPr>
            </w:pPr>
            <w:r w:rsidRPr="00274D6B">
              <w:rPr>
                <w:rFonts w:eastAsia="Calibri"/>
                <w:sz w:val="20"/>
              </w:rPr>
              <w:t>24</w:t>
            </w:r>
          </w:p>
        </w:tc>
        <w:tc>
          <w:tcPr>
            <w:tcW w:w="2735" w:type="dxa"/>
            <w:shd w:val="clear" w:color="auto" w:fill="auto"/>
          </w:tcPr>
          <w:p w14:paraId="1E94C11E" w14:textId="77777777" w:rsidR="00A05041" w:rsidRPr="00274D6B" w:rsidRDefault="00A05041" w:rsidP="000371C0">
            <w:pPr>
              <w:tabs>
                <w:tab w:val="left" w:pos="1134"/>
              </w:tabs>
              <w:jc w:val="center"/>
              <w:rPr>
                <w:rFonts w:eastAsia="Calibri"/>
                <w:sz w:val="20"/>
              </w:rPr>
            </w:pPr>
            <w:r w:rsidRPr="00274D6B">
              <w:rPr>
                <w:rFonts w:eastAsia="Calibri"/>
                <w:sz w:val="20"/>
              </w:rPr>
              <w:t>12 stánků provozovatele</w:t>
            </w:r>
          </w:p>
        </w:tc>
      </w:tr>
    </w:tbl>
    <w:p w14:paraId="52C6DF45" w14:textId="77777777" w:rsidR="00A05041" w:rsidRPr="002D28E9" w:rsidRDefault="00A05041" w:rsidP="00A05041">
      <w:pPr>
        <w:ind w:left="360"/>
        <w:jc w:val="right"/>
        <w:rPr>
          <w:sz w:val="20"/>
        </w:rPr>
      </w:pPr>
      <w:r w:rsidRPr="002D28E9">
        <w:rPr>
          <w:sz w:val="20"/>
        </w:rPr>
        <w:t xml:space="preserve">Tabulka č. </w:t>
      </w:r>
      <w:r>
        <w:rPr>
          <w:sz w:val="20"/>
        </w:rPr>
        <w:t>10</w:t>
      </w:r>
    </w:p>
    <w:p w14:paraId="32703841" w14:textId="77777777" w:rsidR="00A05041" w:rsidRDefault="00A05041" w:rsidP="00A05041">
      <w:pPr>
        <w:rPr>
          <w:szCs w:val="24"/>
        </w:rPr>
      </w:pPr>
    </w:p>
    <w:p w14:paraId="162AD574" w14:textId="77777777" w:rsidR="00A05041" w:rsidRPr="0090561A" w:rsidRDefault="00A05041" w:rsidP="00A05041">
      <w:pPr>
        <w:tabs>
          <w:tab w:val="left" w:pos="1134"/>
        </w:tabs>
        <w:ind w:left="426" w:hanging="426"/>
        <w:contextualSpacing/>
        <w:rPr>
          <w:szCs w:val="24"/>
        </w:rPr>
      </w:pPr>
      <w:r>
        <w:rPr>
          <w:szCs w:val="24"/>
        </w:rPr>
        <w:t xml:space="preserve">(3) </w:t>
      </w:r>
      <w:r w:rsidRPr="00F246A4">
        <w:rPr>
          <w:sz w:val="22"/>
          <w:szCs w:val="22"/>
        </w:rPr>
        <w:t>Pro konání vánočních trhů v období od 10. listopadu do 8. ledna se stanovuje umístění, kapacita a vybavenost tržišť takto:</w:t>
      </w:r>
    </w:p>
    <w:p w14:paraId="044B93B1" w14:textId="77777777" w:rsidR="00A05041" w:rsidRPr="0090561A" w:rsidRDefault="00A05041" w:rsidP="00A05041">
      <w:pPr>
        <w:tabs>
          <w:tab w:val="num" w:pos="567"/>
          <w:tab w:val="left" w:pos="1134"/>
        </w:tabs>
        <w:ind w:left="1134" w:hanging="425"/>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611"/>
        <w:gridCol w:w="2735"/>
      </w:tblGrid>
      <w:tr w:rsidR="00A05041" w:rsidRPr="0090561A" w14:paraId="7D3022DB" w14:textId="77777777" w:rsidTr="000371C0">
        <w:tc>
          <w:tcPr>
            <w:tcW w:w="3295" w:type="dxa"/>
            <w:shd w:val="clear" w:color="auto" w:fill="auto"/>
          </w:tcPr>
          <w:p w14:paraId="626DAAE4" w14:textId="77777777" w:rsidR="00A05041" w:rsidRPr="00274D6B" w:rsidRDefault="00A05041" w:rsidP="000371C0">
            <w:pPr>
              <w:tabs>
                <w:tab w:val="left" w:pos="1134"/>
              </w:tabs>
              <w:jc w:val="center"/>
              <w:rPr>
                <w:rFonts w:eastAsia="Calibri"/>
                <w:sz w:val="20"/>
              </w:rPr>
            </w:pPr>
            <w:r w:rsidRPr="00274D6B">
              <w:rPr>
                <w:rFonts w:eastAsia="Calibri"/>
                <w:sz w:val="20"/>
              </w:rPr>
              <w:t>Lokalita</w:t>
            </w:r>
          </w:p>
        </w:tc>
        <w:tc>
          <w:tcPr>
            <w:tcW w:w="2611" w:type="dxa"/>
            <w:shd w:val="clear" w:color="auto" w:fill="auto"/>
          </w:tcPr>
          <w:p w14:paraId="2441D282" w14:textId="77777777" w:rsidR="00A05041" w:rsidRPr="00274D6B" w:rsidRDefault="00A05041" w:rsidP="000371C0">
            <w:pPr>
              <w:tabs>
                <w:tab w:val="left" w:pos="1134"/>
              </w:tabs>
              <w:jc w:val="center"/>
              <w:rPr>
                <w:rFonts w:eastAsia="Calibri"/>
                <w:sz w:val="20"/>
              </w:rPr>
            </w:pPr>
            <w:r w:rsidRPr="00274D6B">
              <w:rPr>
                <w:rFonts w:eastAsia="Calibri"/>
                <w:sz w:val="20"/>
              </w:rPr>
              <w:t>Kapacita tržních míst</w:t>
            </w:r>
          </w:p>
        </w:tc>
        <w:tc>
          <w:tcPr>
            <w:tcW w:w="2735" w:type="dxa"/>
            <w:shd w:val="clear" w:color="auto" w:fill="auto"/>
          </w:tcPr>
          <w:p w14:paraId="0C358B5D" w14:textId="77777777" w:rsidR="00A05041" w:rsidRPr="00274D6B" w:rsidRDefault="00A05041" w:rsidP="000371C0">
            <w:pPr>
              <w:tabs>
                <w:tab w:val="left" w:pos="1134"/>
              </w:tabs>
              <w:jc w:val="center"/>
              <w:rPr>
                <w:rFonts w:eastAsia="Calibri"/>
                <w:sz w:val="20"/>
              </w:rPr>
            </w:pPr>
            <w:r w:rsidRPr="00274D6B">
              <w:rPr>
                <w:rFonts w:eastAsia="Calibri"/>
                <w:sz w:val="20"/>
              </w:rPr>
              <w:t>Vybavenost</w:t>
            </w:r>
          </w:p>
        </w:tc>
      </w:tr>
      <w:tr w:rsidR="00A05041" w:rsidRPr="0090561A" w14:paraId="75DCCB47" w14:textId="77777777" w:rsidTr="000371C0">
        <w:tc>
          <w:tcPr>
            <w:tcW w:w="3295" w:type="dxa"/>
            <w:shd w:val="clear" w:color="auto" w:fill="auto"/>
          </w:tcPr>
          <w:p w14:paraId="3AB634FA" w14:textId="77777777" w:rsidR="00A05041" w:rsidRPr="00274D6B" w:rsidRDefault="00A05041" w:rsidP="000371C0">
            <w:pPr>
              <w:tabs>
                <w:tab w:val="left" w:pos="1134"/>
              </w:tabs>
              <w:rPr>
                <w:rFonts w:eastAsia="Calibri"/>
                <w:sz w:val="20"/>
              </w:rPr>
            </w:pPr>
            <w:r w:rsidRPr="00274D6B">
              <w:rPr>
                <w:rFonts w:eastAsia="Calibri"/>
                <w:sz w:val="20"/>
              </w:rPr>
              <w:t xml:space="preserve">Náměstí T. G. Masaryka </w:t>
            </w:r>
          </w:p>
        </w:tc>
        <w:tc>
          <w:tcPr>
            <w:tcW w:w="2611" w:type="dxa"/>
            <w:shd w:val="clear" w:color="auto" w:fill="auto"/>
          </w:tcPr>
          <w:p w14:paraId="7B1B39C0" w14:textId="77777777" w:rsidR="00A05041" w:rsidRPr="00274D6B" w:rsidRDefault="00A05041" w:rsidP="000371C0">
            <w:pPr>
              <w:tabs>
                <w:tab w:val="left" w:pos="1134"/>
              </w:tabs>
              <w:jc w:val="center"/>
              <w:rPr>
                <w:rFonts w:eastAsia="Calibri"/>
                <w:sz w:val="20"/>
              </w:rPr>
            </w:pPr>
            <w:r w:rsidRPr="00274D6B">
              <w:rPr>
                <w:rFonts w:eastAsia="Calibri"/>
                <w:sz w:val="20"/>
              </w:rPr>
              <w:t>12</w:t>
            </w:r>
          </w:p>
        </w:tc>
        <w:tc>
          <w:tcPr>
            <w:tcW w:w="2735" w:type="dxa"/>
            <w:shd w:val="clear" w:color="auto" w:fill="auto"/>
          </w:tcPr>
          <w:p w14:paraId="5E838045" w14:textId="77777777" w:rsidR="00A05041" w:rsidRPr="00274D6B" w:rsidRDefault="00A05041" w:rsidP="000371C0">
            <w:pPr>
              <w:tabs>
                <w:tab w:val="left" w:pos="1134"/>
              </w:tabs>
              <w:jc w:val="center"/>
              <w:rPr>
                <w:rFonts w:eastAsia="Calibri"/>
                <w:sz w:val="20"/>
              </w:rPr>
            </w:pPr>
            <w:r w:rsidRPr="00274D6B">
              <w:rPr>
                <w:rFonts w:eastAsia="Calibri"/>
                <w:sz w:val="20"/>
              </w:rPr>
              <w:t>12 stánků provozovatele</w:t>
            </w:r>
          </w:p>
        </w:tc>
      </w:tr>
    </w:tbl>
    <w:p w14:paraId="326F586E" w14:textId="77777777" w:rsidR="00A05041" w:rsidRPr="0090561A" w:rsidRDefault="00A05041" w:rsidP="00A05041">
      <w:pPr>
        <w:ind w:left="360"/>
        <w:jc w:val="right"/>
        <w:rPr>
          <w:sz w:val="20"/>
        </w:rPr>
      </w:pPr>
      <w:r w:rsidRPr="0090561A">
        <w:rPr>
          <w:sz w:val="20"/>
        </w:rPr>
        <w:t xml:space="preserve">Tabulka č. </w:t>
      </w:r>
      <w:r>
        <w:rPr>
          <w:sz w:val="20"/>
        </w:rPr>
        <w:t>11</w:t>
      </w:r>
    </w:p>
    <w:p w14:paraId="74A054B1" w14:textId="77777777" w:rsidR="00A05041" w:rsidRDefault="00A05041" w:rsidP="00A05041">
      <w:pPr>
        <w:rPr>
          <w:szCs w:val="24"/>
        </w:rPr>
      </w:pPr>
    </w:p>
    <w:p w14:paraId="45DDF73F" w14:textId="77777777" w:rsidR="00A05041" w:rsidRPr="00F246A4" w:rsidRDefault="00A05041" w:rsidP="00A05041">
      <w:pPr>
        <w:ind w:left="426" w:hanging="426"/>
        <w:rPr>
          <w:sz w:val="22"/>
          <w:szCs w:val="22"/>
        </w:rPr>
      </w:pPr>
      <w:r>
        <w:rPr>
          <w:szCs w:val="24"/>
        </w:rPr>
        <w:t xml:space="preserve">(4) </w:t>
      </w:r>
      <w:r w:rsidRPr="00F246A4">
        <w:rPr>
          <w:sz w:val="22"/>
          <w:szCs w:val="22"/>
        </w:rPr>
        <w:t>Na těchto tržištích lze v souladu s právními předpisy nabízet, prodávat zboží nebo poskytovat služby bez omezení.</w:t>
      </w:r>
    </w:p>
    <w:p w14:paraId="6F6309EB" w14:textId="77777777" w:rsidR="00A05041" w:rsidRPr="00F246A4" w:rsidRDefault="00A05041" w:rsidP="00A05041">
      <w:pPr>
        <w:rPr>
          <w:sz w:val="22"/>
          <w:szCs w:val="22"/>
        </w:rPr>
      </w:pPr>
    </w:p>
    <w:p w14:paraId="45807B00" w14:textId="77777777" w:rsidR="00A05041" w:rsidRPr="00F246A4" w:rsidRDefault="00A05041" w:rsidP="00A05041">
      <w:pPr>
        <w:tabs>
          <w:tab w:val="left" w:pos="993"/>
        </w:tabs>
        <w:ind w:left="426" w:hanging="426"/>
        <w:rPr>
          <w:sz w:val="22"/>
          <w:szCs w:val="22"/>
        </w:rPr>
      </w:pPr>
      <w:r w:rsidRPr="00F246A4">
        <w:rPr>
          <w:sz w:val="22"/>
          <w:szCs w:val="22"/>
        </w:rPr>
        <w:t>(5) Uspořádání tržních míst podle odst. 1 v lokalitě náměstí Svobody a podle odst. 2 a 3 je uvedeno v grafické příloze č. 2 tohoto nařízení.</w:t>
      </w:r>
    </w:p>
    <w:p w14:paraId="6CFB87F0" w14:textId="77777777" w:rsidR="00A05041" w:rsidRDefault="00A05041" w:rsidP="00A05041">
      <w:pPr>
        <w:pStyle w:val="Default"/>
        <w:spacing w:before="160"/>
        <w:rPr>
          <w:b/>
          <w:bCs/>
          <w:color w:val="auto"/>
          <w:szCs w:val="28"/>
        </w:rPr>
      </w:pPr>
    </w:p>
    <w:p w14:paraId="089AF355" w14:textId="77777777" w:rsidR="00A05041" w:rsidRPr="00F246A4" w:rsidRDefault="00A05041" w:rsidP="00A05041">
      <w:pPr>
        <w:pStyle w:val="Default"/>
        <w:spacing w:before="160"/>
        <w:jc w:val="center"/>
        <w:rPr>
          <w:b/>
          <w:bCs/>
          <w:color w:val="auto"/>
          <w:sz w:val="22"/>
        </w:rPr>
      </w:pPr>
      <w:r w:rsidRPr="00F246A4">
        <w:rPr>
          <w:b/>
          <w:bCs/>
          <w:color w:val="auto"/>
          <w:sz w:val="22"/>
        </w:rPr>
        <w:t>Článek 6</w:t>
      </w:r>
    </w:p>
    <w:p w14:paraId="3B75C225" w14:textId="77777777" w:rsidR="00A05041" w:rsidRPr="00F246A4" w:rsidRDefault="00A05041" w:rsidP="00A05041">
      <w:pPr>
        <w:pStyle w:val="Default"/>
        <w:jc w:val="center"/>
        <w:rPr>
          <w:b/>
          <w:bCs/>
          <w:color w:val="auto"/>
          <w:sz w:val="22"/>
        </w:rPr>
      </w:pPr>
      <w:r w:rsidRPr="00F246A4">
        <w:rPr>
          <w:b/>
          <w:bCs/>
          <w:color w:val="auto"/>
          <w:sz w:val="22"/>
        </w:rPr>
        <w:t>Prodej zboží a poskytování služeb na předsunutých prodejních místech, restauračních předzahrádkách a pojízdný prodej</w:t>
      </w:r>
    </w:p>
    <w:p w14:paraId="2FA5DD1C" w14:textId="77777777" w:rsidR="00A05041" w:rsidRPr="00F246A4" w:rsidRDefault="00A05041" w:rsidP="00A05041">
      <w:pPr>
        <w:pStyle w:val="odst"/>
        <w:tabs>
          <w:tab w:val="clear" w:pos="540"/>
          <w:tab w:val="left" w:pos="0"/>
        </w:tabs>
        <w:ind w:left="0" w:firstLine="0"/>
        <w:rPr>
          <w:color w:val="auto"/>
          <w:sz w:val="22"/>
          <w:szCs w:val="22"/>
        </w:rPr>
      </w:pPr>
      <w:r w:rsidRPr="00F246A4">
        <w:rPr>
          <w:color w:val="auto"/>
          <w:sz w:val="22"/>
          <w:szCs w:val="22"/>
        </w:rPr>
        <w:t xml:space="preserve">Prodej zboží nebo poskytování služeb na předsunutých prodejních místech, restauračních předzahrádkách a pojízdný prodej je možné provádět v souladu s právními předpisy na celém území statutárního města Přerova. </w:t>
      </w:r>
    </w:p>
    <w:p w14:paraId="09204295" w14:textId="77777777" w:rsidR="00A05041" w:rsidRPr="00F246A4" w:rsidRDefault="00A05041" w:rsidP="00A05041">
      <w:pPr>
        <w:pStyle w:val="odst"/>
        <w:rPr>
          <w:color w:val="auto"/>
          <w:sz w:val="22"/>
          <w:szCs w:val="22"/>
        </w:rPr>
      </w:pPr>
    </w:p>
    <w:p w14:paraId="35A70594" w14:textId="79F8281B" w:rsidR="00A05041" w:rsidRDefault="00A05041" w:rsidP="00A05041">
      <w:pPr>
        <w:pStyle w:val="odst"/>
        <w:ind w:left="0" w:firstLine="0"/>
        <w:rPr>
          <w:color w:val="auto"/>
          <w:sz w:val="22"/>
          <w:szCs w:val="22"/>
        </w:rPr>
      </w:pPr>
    </w:p>
    <w:p w14:paraId="4027858D" w14:textId="473B41DF" w:rsidR="00A05041" w:rsidRDefault="00A05041" w:rsidP="00A05041">
      <w:pPr>
        <w:pStyle w:val="odst"/>
        <w:ind w:left="0" w:firstLine="0"/>
        <w:rPr>
          <w:color w:val="auto"/>
          <w:sz w:val="22"/>
          <w:szCs w:val="22"/>
        </w:rPr>
      </w:pPr>
    </w:p>
    <w:p w14:paraId="475AE513" w14:textId="77777777" w:rsidR="00A05041" w:rsidRPr="00F246A4" w:rsidRDefault="00A05041" w:rsidP="00A05041">
      <w:pPr>
        <w:pStyle w:val="odst"/>
        <w:ind w:left="0" w:firstLine="0"/>
        <w:rPr>
          <w:color w:val="auto"/>
          <w:sz w:val="22"/>
          <w:szCs w:val="22"/>
        </w:rPr>
      </w:pPr>
    </w:p>
    <w:p w14:paraId="638DC220" w14:textId="77777777" w:rsidR="00A05041" w:rsidRPr="00F246A4" w:rsidRDefault="00A05041" w:rsidP="00A05041">
      <w:pPr>
        <w:pStyle w:val="Default"/>
        <w:jc w:val="center"/>
        <w:rPr>
          <w:b/>
          <w:bCs/>
          <w:color w:val="auto"/>
          <w:sz w:val="22"/>
        </w:rPr>
      </w:pPr>
      <w:r w:rsidRPr="00F246A4">
        <w:rPr>
          <w:b/>
          <w:bCs/>
          <w:color w:val="auto"/>
          <w:sz w:val="22"/>
        </w:rPr>
        <w:lastRenderedPageBreak/>
        <w:t>Článek 7</w:t>
      </w:r>
    </w:p>
    <w:p w14:paraId="505D2AC7" w14:textId="77777777" w:rsidR="00A05041" w:rsidRPr="00F246A4" w:rsidRDefault="00A05041" w:rsidP="00A05041">
      <w:pPr>
        <w:pStyle w:val="Default"/>
        <w:jc w:val="center"/>
        <w:rPr>
          <w:b/>
          <w:bCs/>
          <w:color w:val="auto"/>
          <w:sz w:val="22"/>
        </w:rPr>
      </w:pPr>
      <w:r w:rsidRPr="00F246A4">
        <w:rPr>
          <w:b/>
          <w:bCs/>
          <w:color w:val="auto"/>
          <w:sz w:val="22"/>
        </w:rPr>
        <w:t>Druhy prodeje zboží a poskytování služeb, na které se nařízení nevztahuje</w:t>
      </w:r>
    </w:p>
    <w:p w14:paraId="213EF660" w14:textId="77777777" w:rsidR="00A05041" w:rsidRPr="007F76D5" w:rsidRDefault="00A05041" w:rsidP="00A05041">
      <w:pPr>
        <w:pStyle w:val="Default"/>
        <w:numPr>
          <w:ilvl w:val="0"/>
          <w:numId w:val="6"/>
        </w:numPr>
        <w:tabs>
          <w:tab w:val="clear" w:pos="720"/>
          <w:tab w:val="num" w:pos="567"/>
        </w:tabs>
        <w:ind w:left="567" w:hanging="567"/>
        <w:jc w:val="both"/>
        <w:rPr>
          <w:bCs/>
          <w:color w:val="auto"/>
          <w:sz w:val="22"/>
          <w:szCs w:val="22"/>
        </w:rPr>
      </w:pPr>
      <w:r w:rsidRPr="00A7071C">
        <w:rPr>
          <w:bCs/>
          <w:color w:val="auto"/>
          <w:sz w:val="22"/>
          <w:szCs w:val="22"/>
        </w:rPr>
        <w:t>Nařízení se nevztahuje na vánoční prodej ryb a stromků, jmelí a chvojí</w:t>
      </w:r>
      <w:r>
        <w:rPr>
          <w:bCs/>
          <w:color w:val="auto"/>
          <w:sz w:val="22"/>
          <w:szCs w:val="22"/>
        </w:rPr>
        <w:t xml:space="preserve">, </w:t>
      </w:r>
      <w:r w:rsidRPr="00A7071C">
        <w:rPr>
          <w:bCs/>
          <w:color w:val="auto"/>
          <w:sz w:val="22"/>
          <w:szCs w:val="22"/>
        </w:rPr>
        <w:t xml:space="preserve">na prodej zboží pomocí automatů obsluhovaných </w:t>
      </w:r>
      <w:r w:rsidRPr="007F76D5">
        <w:rPr>
          <w:bCs/>
          <w:color w:val="auto"/>
          <w:sz w:val="22"/>
          <w:szCs w:val="22"/>
        </w:rPr>
        <w:t xml:space="preserve">spotřebitelem, </w:t>
      </w:r>
      <w:r w:rsidRPr="007F76D5">
        <w:rPr>
          <w:bCs/>
          <w:color w:val="auto"/>
          <w:sz w:val="22"/>
        </w:rPr>
        <w:t>na prodej zboží a poskytování služeb v rámci akcí humanitárního a charitativního charakteru a na prodej zboží a poskytování služeb, které nejsou živnostenským podnikáním.</w:t>
      </w:r>
      <w:r w:rsidRPr="007F76D5">
        <w:rPr>
          <w:bCs/>
          <w:color w:val="auto"/>
          <w:sz w:val="22"/>
          <w:szCs w:val="22"/>
        </w:rPr>
        <w:t xml:space="preserve"> </w:t>
      </w:r>
    </w:p>
    <w:p w14:paraId="077E91CD" w14:textId="77777777" w:rsidR="00A05041" w:rsidRDefault="00A05041" w:rsidP="00A05041">
      <w:pPr>
        <w:pStyle w:val="Default"/>
        <w:numPr>
          <w:ilvl w:val="0"/>
          <w:numId w:val="6"/>
        </w:numPr>
        <w:tabs>
          <w:tab w:val="clear" w:pos="720"/>
          <w:tab w:val="num" w:pos="567"/>
        </w:tabs>
        <w:ind w:left="567" w:hanging="567"/>
        <w:jc w:val="both"/>
        <w:rPr>
          <w:bCs/>
          <w:color w:val="auto"/>
          <w:sz w:val="22"/>
        </w:rPr>
      </w:pPr>
      <w:r w:rsidRPr="00F246A4">
        <w:rPr>
          <w:bCs/>
          <w:color w:val="auto"/>
          <w:sz w:val="22"/>
        </w:rPr>
        <w:t>Za vánoční prodej ryb a stromků, jmelí a chvojí se pro účely tohoto nařízení pokládá jejich prodej od 7. do 24. prosince kalendářního roku.</w:t>
      </w:r>
    </w:p>
    <w:p w14:paraId="1DAC1F8B" w14:textId="77777777" w:rsidR="00A05041" w:rsidRDefault="00A05041" w:rsidP="00A05041">
      <w:pPr>
        <w:pStyle w:val="Default"/>
        <w:rPr>
          <w:b/>
          <w:bCs/>
          <w:color w:val="auto"/>
          <w:sz w:val="22"/>
        </w:rPr>
      </w:pPr>
    </w:p>
    <w:p w14:paraId="6F42E891" w14:textId="77777777" w:rsidR="00A05041" w:rsidRDefault="00A05041" w:rsidP="00A05041">
      <w:pPr>
        <w:pStyle w:val="Default"/>
        <w:jc w:val="center"/>
        <w:rPr>
          <w:b/>
          <w:bCs/>
          <w:color w:val="auto"/>
          <w:sz w:val="22"/>
        </w:rPr>
      </w:pPr>
    </w:p>
    <w:p w14:paraId="74E0F10B" w14:textId="77777777" w:rsidR="00A05041" w:rsidRPr="00F246A4" w:rsidRDefault="00A05041" w:rsidP="00A05041">
      <w:pPr>
        <w:pStyle w:val="Default"/>
        <w:jc w:val="center"/>
        <w:rPr>
          <w:b/>
          <w:bCs/>
          <w:color w:val="auto"/>
          <w:sz w:val="22"/>
        </w:rPr>
      </w:pPr>
      <w:r w:rsidRPr="00F246A4">
        <w:rPr>
          <w:b/>
          <w:bCs/>
          <w:color w:val="auto"/>
          <w:sz w:val="22"/>
        </w:rPr>
        <w:t>Článek 8</w:t>
      </w:r>
    </w:p>
    <w:p w14:paraId="748C2243" w14:textId="77777777" w:rsidR="00A05041" w:rsidRPr="00F246A4" w:rsidRDefault="00A05041" w:rsidP="00A05041">
      <w:pPr>
        <w:pStyle w:val="Default"/>
        <w:jc w:val="center"/>
        <w:rPr>
          <w:b/>
          <w:bCs/>
          <w:color w:val="auto"/>
          <w:sz w:val="22"/>
        </w:rPr>
      </w:pPr>
      <w:r w:rsidRPr="00F246A4">
        <w:rPr>
          <w:b/>
          <w:bCs/>
          <w:color w:val="auto"/>
          <w:sz w:val="22"/>
        </w:rPr>
        <w:t xml:space="preserve">Zakázané druhy prodeje a poskytování služeb </w:t>
      </w:r>
    </w:p>
    <w:p w14:paraId="3F0B5A81" w14:textId="77777777" w:rsidR="00A05041" w:rsidRPr="00F246A4" w:rsidRDefault="00A05041" w:rsidP="00A05041">
      <w:pPr>
        <w:pStyle w:val="Default"/>
        <w:numPr>
          <w:ilvl w:val="0"/>
          <w:numId w:val="8"/>
        </w:numPr>
        <w:tabs>
          <w:tab w:val="clear" w:pos="1080"/>
          <w:tab w:val="num" w:pos="540"/>
        </w:tabs>
        <w:ind w:left="540" w:hanging="540"/>
        <w:jc w:val="both"/>
        <w:rPr>
          <w:color w:val="auto"/>
          <w:sz w:val="22"/>
          <w:szCs w:val="22"/>
        </w:rPr>
      </w:pPr>
      <w:r w:rsidRPr="00F246A4">
        <w:rPr>
          <w:color w:val="auto"/>
          <w:sz w:val="22"/>
          <w:szCs w:val="22"/>
        </w:rPr>
        <w:t>Mimo druhy prodeje zboží a poskytování služeb, místa a doby uvedené v tomto nařízení je prodej zboží nebo poskytování služeb mimo určenou provozovnu na území statutárního města Přerova zakázán, nejde-li o prodej zboží a poskytování služeb podle článku 6 tohoto nařízení.</w:t>
      </w:r>
    </w:p>
    <w:p w14:paraId="319BCB93" w14:textId="77777777" w:rsidR="00A05041" w:rsidRPr="00F246A4" w:rsidRDefault="00A05041" w:rsidP="00A05041">
      <w:pPr>
        <w:pStyle w:val="odst"/>
        <w:numPr>
          <w:ilvl w:val="0"/>
          <w:numId w:val="8"/>
        </w:numPr>
        <w:tabs>
          <w:tab w:val="clear" w:pos="1080"/>
          <w:tab w:val="num" w:pos="540"/>
        </w:tabs>
        <w:ind w:left="540" w:hanging="540"/>
        <w:rPr>
          <w:color w:val="auto"/>
          <w:sz w:val="22"/>
          <w:szCs w:val="22"/>
        </w:rPr>
      </w:pPr>
      <w:r w:rsidRPr="00F246A4">
        <w:rPr>
          <w:color w:val="auto"/>
          <w:sz w:val="22"/>
          <w:szCs w:val="22"/>
        </w:rPr>
        <w:t xml:space="preserve">Podomní prodej je na území statutárního města Přerova zakázán. </w:t>
      </w:r>
    </w:p>
    <w:p w14:paraId="40DD8F88" w14:textId="77777777" w:rsidR="00A05041" w:rsidRPr="00F246A4" w:rsidRDefault="00A05041" w:rsidP="00A05041">
      <w:pPr>
        <w:pStyle w:val="odst"/>
        <w:numPr>
          <w:ilvl w:val="0"/>
          <w:numId w:val="6"/>
        </w:numPr>
        <w:tabs>
          <w:tab w:val="clear" w:pos="720"/>
          <w:tab w:val="num" w:pos="540"/>
        </w:tabs>
        <w:ind w:left="540" w:hanging="540"/>
        <w:rPr>
          <w:color w:val="auto"/>
          <w:sz w:val="22"/>
          <w:szCs w:val="22"/>
        </w:rPr>
      </w:pPr>
      <w:r w:rsidRPr="00F246A4">
        <w:rPr>
          <w:color w:val="auto"/>
          <w:sz w:val="22"/>
          <w:szCs w:val="22"/>
        </w:rPr>
        <w:t xml:space="preserve">Pochůzkový prodej je na území statutárního města Přerova zakázán. </w:t>
      </w:r>
    </w:p>
    <w:p w14:paraId="0ED8390A" w14:textId="77777777" w:rsidR="00A05041" w:rsidRPr="00F246A4" w:rsidRDefault="00A05041" w:rsidP="00A05041">
      <w:pPr>
        <w:pStyle w:val="odst"/>
        <w:rPr>
          <w:color w:val="auto"/>
          <w:sz w:val="22"/>
          <w:szCs w:val="22"/>
        </w:rPr>
      </w:pPr>
    </w:p>
    <w:p w14:paraId="1810E5F0" w14:textId="77777777" w:rsidR="00A05041" w:rsidRPr="00F246A4" w:rsidRDefault="00A05041" w:rsidP="00A05041">
      <w:pPr>
        <w:pStyle w:val="Default"/>
        <w:spacing w:before="160"/>
        <w:jc w:val="center"/>
        <w:rPr>
          <w:b/>
          <w:bCs/>
          <w:color w:val="auto"/>
          <w:sz w:val="22"/>
          <w:szCs w:val="22"/>
        </w:rPr>
      </w:pPr>
      <w:r w:rsidRPr="00F246A4">
        <w:rPr>
          <w:b/>
          <w:bCs/>
          <w:color w:val="auto"/>
          <w:sz w:val="22"/>
          <w:szCs w:val="22"/>
        </w:rPr>
        <w:t>Článek 9</w:t>
      </w:r>
    </w:p>
    <w:p w14:paraId="5B51EF98" w14:textId="77777777" w:rsidR="00A05041" w:rsidRPr="00F246A4" w:rsidRDefault="00A05041" w:rsidP="00A05041">
      <w:pPr>
        <w:pStyle w:val="Default"/>
        <w:jc w:val="center"/>
        <w:rPr>
          <w:b/>
          <w:bCs/>
          <w:color w:val="auto"/>
          <w:sz w:val="22"/>
          <w:szCs w:val="22"/>
        </w:rPr>
      </w:pPr>
      <w:r w:rsidRPr="00F246A4">
        <w:rPr>
          <w:b/>
          <w:bCs/>
          <w:color w:val="auto"/>
          <w:sz w:val="22"/>
          <w:szCs w:val="22"/>
        </w:rPr>
        <w:t>Doba prodeje zboží a poskytování služeb na tržištích, předsunutých prodejních místech a restauračních předzahrádkách</w:t>
      </w:r>
    </w:p>
    <w:p w14:paraId="71617807" w14:textId="77777777" w:rsidR="00A05041" w:rsidRPr="00F246A4" w:rsidRDefault="00A05041" w:rsidP="00A05041">
      <w:pPr>
        <w:pStyle w:val="odst"/>
        <w:rPr>
          <w:color w:val="auto"/>
          <w:sz w:val="22"/>
          <w:szCs w:val="22"/>
        </w:rPr>
      </w:pPr>
      <w:r w:rsidRPr="00F246A4">
        <w:rPr>
          <w:color w:val="auto"/>
          <w:sz w:val="22"/>
          <w:szCs w:val="22"/>
        </w:rPr>
        <w:t>(1)</w:t>
      </w:r>
      <w:r w:rsidRPr="00F246A4">
        <w:rPr>
          <w:color w:val="auto"/>
          <w:sz w:val="22"/>
          <w:szCs w:val="22"/>
        </w:rPr>
        <w:tab/>
        <w:t>Maximální doba prodeje zboží a poskytování služeb je stanovena takto:</w:t>
      </w:r>
    </w:p>
    <w:p w14:paraId="43468E44" w14:textId="77777777" w:rsidR="00A05041" w:rsidRPr="00F246A4" w:rsidRDefault="00A05041" w:rsidP="00A05041">
      <w:pPr>
        <w:ind w:firstLine="567"/>
        <w:rPr>
          <w:sz w:val="22"/>
          <w:szCs w:val="18"/>
        </w:rPr>
      </w:pPr>
      <w:r w:rsidRPr="00F246A4">
        <w:rPr>
          <w:sz w:val="22"/>
          <w:szCs w:val="18"/>
        </w:rPr>
        <w:t>a) na tržištích a předsunutých prodejních místech</w:t>
      </w:r>
    </w:p>
    <w:p w14:paraId="04CCABEF" w14:textId="77777777" w:rsidR="00A05041" w:rsidRPr="00F246A4" w:rsidRDefault="00A05041" w:rsidP="00A05041">
      <w:pPr>
        <w:ind w:firstLine="567"/>
        <w:rPr>
          <w:sz w:val="22"/>
          <w:szCs w:val="18"/>
        </w:rPr>
      </w:pPr>
      <w:r w:rsidRPr="00F246A4">
        <w:rPr>
          <w:sz w:val="22"/>
          <w:szCs w:val="18"/>
        </w:rPr>
        <w:t xml:space="preserve">  6,00 - 22,00 hodin </w:t>
      </w:r>
    </w:p>
    <w:p w14:paraId="3AECB283" w14:textId="77777777" w:rsidR="00A05041" w:rsidRPr="00F246A4" w:rsidRDefault="00A05041" w:rsidP="00A05041">
      <w:pPr>
        <w:ind w:firstLine="567"/>
        <w:rPr>
          <w:sz w:val="22"/>
          <w:szCs w:val="18"/>
        </w:rPr>
      </w:pPr>
      <w:r w:rsidRPr="00F246A4">
        <w:rPr>
          <w:sz w:val="22"/>
          <w:szCs w:val="18"/>
        </w:rPr>
        <w:t>b) v restauračních předzahrádkách</w:t>
      </w:r>
    </w:p>
    <w:p w14:paraId="25891865" w14:textId="77777777" w:rsidR="00A05041" w:rsidRPr="00F246A4" w:rsidRDefault="00A05041" w:rsidP="00A05041">
      <w:pPr>
        <w:ind w:firstLine="708"/>
        <w:rPr>
          <w:sz w:val="22"/>
          <w:szCs w:val="18"/>
        </w:rPr>
      </w:pPr>
      <w:r w:rsidRPr="00F246A4">
        <w:rPr>
          <w:sz w:val="22"/>
          <w:szCs w:val="18"/>
        </w:rPr>
        <w:t xml:space="preserve"> -    v pátek, sobotu a v den předcházející dni, který je stát</w:t>
      </w:r>
      <w:r>
        <w:rPr>
          <w:sz w:val="22"/>
          <w:szCs w:val="18"/>
        </w:rPr>
        <w:t xml:space="preserve">ním </w:t>
      </w:r>
      <w:r w:rsidRPr="00F246A4">
        <w:rPr>
          <w:sz w:val="22"/>
          <w:szCs w:val="18"/>
        </w:rPr>
        <w:t>svátkem</w:t>
      </w:r>
      <w:r>
        <w:rPr>
          <w:sz w:val="22"/>
          <w:szCs w:val="18"/>
        </w:rPr>
        <w:t xml:space="preserve"> nebo ostatním svátkem</w:t>
      </w:r>
      <w:r w:rsidRPr="00134E73">
        <w:rPr>
          <w:sz w:val="22"/>
          <w:szCs w:val="18"/>
          <w:vertAlign w:val="superscript"/>
        </w:rPr>
        <w:t>3</w:t>
      </w:r>
      <w:r w:rsidRPr="00F246A4">
        <w:rPr>
          <w:sz w:val="22"/>
          <w:szCs w:val="22"/>
          <w:vertAlign w:val="superscript"/>
        </w:rPr>
        <w:t>)</w:t>
      </w:r>
    </w:p>
    <w:p w14:paraId="17799523" w14:textId="77777777" w:rsidR="00A05041" w:rsidRPr="00F246A4" w:rsidRDefault="00A05041" w:rsidP="00A05041">
      <w:pPr>
        <w:ind w:left="708"/>
        <w:rPr>
          <w:sz w:val="22"/>
          <w:szCs w:val="18"/>
        </w:rPr>
      </w:pPr>
      <w:r w:rsidRPr="00F246A4">
        <w:rPr>
          <w:sz w:val="22"/>
          <w:szCs w:val="18"/>
        </w:rPr>
        <w:t xml:space="preserve">      6,00 - 24,00 hodin </w:t>
      </w:r>
    </w:p>
    <w:p w14:paraId="2E5B2D44" w14:textId="77777777" w:rsidR="00A05041" w:rsidRPr="00F246A4" w:rsidRDefault="00A05041" w:rsidP="00A05041">
      <w:pPr>
        <w:pStyle w:val="Odstavecseseznamem"/>
        <w:numPr>
          <w:ilvl w:val="0"/>
          <w:numId w:val="11"/>
        </w:numPr>
        <w:rPr>
          <w:sz w:val="22"/>
          <w:szCs w:val="18"/>
        </w:rPr>
      </w:pPr>
      <w:r w:rsidRPr="00F246A4">
        <w:rPr>
          <w:sz w:val="22"/>
          <w:szCs w:val="18"/>
        </w:rPr>
        <w:t>v ostatních dnech</w:t>
      </w:r>
    </w:p>
    <w:p w14:paraId="7AE46377" w14:textId="77777777" w:rsidR="00A05041" w:rsidRPr="00F246A4" w:rsidRDefault="00A05041" w:rsidP="00A05041">
      <w:pPr>
        <w:ind w:firstLine="708"/>
        <w:rPr>
          <w:sz w:val="22"/>
          <w:szCs w:val="18"/>
        </w:rPr>
      </w:pPr>
      <w:r w:rsidRPr="00F246A4">
        <w:rPr>
          <w:sz w:val="22"/>
          <w:szCs w:val="18"/>
        </w:rPr>
        <w:t xml:space="preserve">      6,00 - 23,00 hodin. </w:t>
      </w:r>
    </w:p>
    <w:p w14:paraId="26C8BD4D" w14:textId="77777777" w:rsidR="00A05041" w:rsidRPr="00F246A4" w:rsidRDefault="00A05041" w:rsidP="00A05041">
      <w:pPr>
        <w:pStyle w:val="odst"/>
        <w:rPr>
          <w:color w:val="auto"/>
          <w:sz w:val="22"/>
          <w:szCs w:val="22"/>
        </w:rPr>
      </w:pPr>
      <w:r w:rsidRPr="00F246A4">
        <w:rPr>
          <w:color w:val="auto"/>
          <w:sz w:val="22"/>
          <w:szCs w:val="22"/>
        </w:rPr>
        <w:t>(2)</w:t>
      </w:r>
      <w:r w:rsidRPr="00F246A4">
        <w:rPr>
          <w:color w:val="auto"/>
          <w:sz w:val="22"/>
          <w:szCs w:val="22"/>
        </w:rPr>
        <w:tab/>
        <w:t>Do doby vymezené v odstavci 1 se započítává také čas nutný k přípravě a úklidu tržního místa.</w:t>
      </w:r>
    </w:p>
    <w:p w14:paraId="7E12EA31" w14:textId="77777777" w:rsidR="00A05041" w:rsidRPr="00F246A4" w:rsidRDefault="00A05041" w:rsidP="00A05041">
      <w:pPr>
        <w:pStyle w:val="odst"/>
        <w:rPr>
          <w:color w:val="auto"/>
          <w:sz w:val="22"/>
          <w:szCs w:val="22"/>
        </w:rPr>
      </w:pPr>
      <w:r w:rsidRPr="00F246A4">
        <w:rPr>
          <w:color w:val="auto"/>
          <w:sz w:val="22"/>
          <w:szCs w:val="22"/>
        </w:rPr>
        <w:t>(3)</w:t>
      </w:r>
      <w:r w:rsidRPr="00F246A4">
        <w:rPr>
          <w:color w:val="auto"/>
          <w:sz w:val="22"/>
          <w:szCs w:val="22"/>
        </w:rPr>
        <w:tab/>
        <w:t>Maximální doba prodeje zboží a poskytování služeb se nevztahuje na akce konané na Štědrý den a akce spojené s vítáním nového roku, tj. v noci z 31. prosince na 1. ledna.</w:t>
      </w:r>
    </w:p>
    <w:p w14:paraId="36AF54FC" w14:textId="77777777" w:rsidR="00A05041" w:rsidRPr="00F246A4" w:rsidRDefault="00A05041" w:rsidP="00A05041">
      <w:pPr>
        <w:pStyle w:val="odst"/>
        <w:ind w:left="0" w:firstLine="0"/>
        <w:rPr>
          <w:color w:val="auto"/>
          <w:sz w:val="22"/>
          <w:szCs w:val="22"/>
        </w:rPr>
      </w:pPr>
    </w:p>
    <w:p w14:paraId="7F5C12B2" w14:textId="77777777" w:rsidR="00A05041" w:rsidRPr="00F246A4" w:rsidRDefault="00A05041" w:rsidP="00A05041">
      <w:pPr>
        <w:pStyle w:val="Default"/>
        <w:spacing w:before="160"/>
        <w:jc w:val="center"/>
        <w:rPr>
          <w:b/>
          <w:bCs/>
          <w:color w:val="auto"/>
          <w:sz w:val="22"/>
        </w:rPr>
      </w:pPr>
      <w:r w:rsidRPr="00F246A4">
        <w:rPr>
          <w:b/>
          <w:bCs/>
          <w:color w:val="auto"/>
          <w:sz w:val="22"/>
        </w:rPr>
        <w:t>Článek 10</w:t>
      </w:r>
    </w:p>
    <w:p w14:paraId="0A463DFD" w14:textId="77777777" w:rsidR="00A05041" w:rsidRPr="00F246A4" w:rsidRDefault="00A05041" w:rsidP="00A05041">
      <w:pPr>
        <w:pStyle w:val="Default"/>
        <w:jc w:val="center"/>
        <w:rPr>
          <w:b/>
          <w:bCs/>
          <w:color w:val="auto"/>
          <w:sz w:val="22"/>
        </w:rPr>
      </w:pPr>
      <w:r w:rsidRPr="00F246A4">
        <w:rPr>
          <w:b/>
          <w:bCs/>
          <w:color w:val="auto"/>
          <w:sz w:val="22"/>
        </w:rPr>
        <w:t>Pravidla pro udržování čistoty, bezpečnosti</w:t>
      </w:r>
      <w:r w:rsidRPr="00F246A4">
        <w:rPr>
          <w:b/>
          <w:bCs/>
          <w:color w:val="auto"/>
          <w:sz w:val="22"/>
        </w:rPr>
        <w:br/>
        <w:t>a zajištění řádného provozu na tržišti nebo tržnici, restaurační předzahrádce a předsunutém prodejním místě</w:t>
      </w:r>
    </w:p>
    <w:p w14:paraId="43C4C82F" w14:textId="77777777" w:rsidR="00A05041" w:rsidRPr="00F246A4" w:rsidRDefault="00A05041" w:rsidP="00A05041">
      <w:pPr>
        <w:pStyle w:val="odst"/>
        <w:rPr>
          <w:color w:val="auto"/>
          <w:sz w:val="22"/>
          <w:szCs w:val="22"/>
        </w:rPr>
      </w:pPr>
      <w:r w:rsidRPr="00F246A4">
        <w:rPr>
          <w:color w:val="auto"/>
          <w:sz w:val="22"/>
          <w:szCs w:val="22"/>
        </w:rPr>
        <w:t>(1)</w:t>
      </w:r>
      <w:r w:rsidRPr="00F246A4">
        <w:rPr>
          <w:color w:val="auto"/>
          <w:sz w:val="22"/>
          <w:szCs w:val="22"/>
        </w:rPr>
        <w:tab/>
        <w:t xml:space="preserve">Provozovatel tržiště nebo tržnice přiděluje prodejci tržní místo. </w:t>
      </w:r>
    </w:p>
    <w:p w14:paraId="6F409288" w14:textId="77777777" w:rsidR="00A05041" w:rsidRPr="00F246A4" w:rsidRDefault="00A05041" w:rsidP="00A05041">
      <w:pPr>
        <w:pStyle w:val="odst"/>
        <w:rPr>
          <w:color w:val="auto"/>
          <w:sz w:val="22"/>
          <w:szCs w:val="22"/>
        </w:rPr>
      </w:pPr>
      <w:r w:rsidRPr="00F246A4">
        <w:rPr>
          <w:color w:val="auto"/>
          <w:sz w:val="22"/>
          <w:szCs w:val="22"/>
        </w:rPr>
        <w:t>(2)</w:t>
      </w:r>
      <w:r w:rsidRPr="00F246A4">
        <w:rPr>
          <w:color w:val="auto"/>
          <w:sz w:val="22"/>
          <w:szCs w:val="22"/>
        </w:rPr>
        <w:tab/>
        <w:t xml:space="preserve">Provozovatel tržiště nebo tržnice </w:t>
      </w:r>
      <w:r>
        <w:rPr>
          <w:color w:val="auto"/>
          <w:sz w:val="22"/>
          <w:szCs w:val="22"/>
        </w:rPr>
        <w:t>je povinen seznámit</w:t>
      </w:r>
      <w:r w:rsidRPr="00F246A4">
        <w:rPr>
          <w:color w:val="auto"/>
          <w:sz w:val="22"/>
          <w:szCs w:val="22"/>
        </w:rPr>
        <w:t xml:space="preserve"> prodejce s tímto nařízením.</w:t>
      </w:r>
    </w:p>
    <w:p w14:paraId="1B4254FC" w14:textId="77777777" w:rsidR="00A05041" w:rsidRPr="00F246A4" w:rsidRDefault="00A05041" w:rsidP="00A05041">
      <w:pPr>
        <w:pStyle w:val="odst"/>
        <w:rPr>
          <w:color w:val="auto"/>
          <w:sz w:val="22"/>
          <w:szCs w:val="22"/>
        </w:rPr>
      </w:pPr>
      <w:r w:rsidRPr="00F246A4">
        <w:rPr>
          <w:color w:val="auto"/>
          <w:sz w:val="22"/>
          <w:szCs w:val="22"/>
        </w:rPr>
        <w:t xml:space="preserve">(3) </w:t>
      </w:r>
      <w:r w:rsidRPr="00F246A4">
        <w:rPr>
          <w:color w:val="auto"/>
          <w:sz w:val="22"/>
          <w:szCs w:val="22"/>
        </w:rPr>
        <w:tab/>
        <w:t xml:space="preserve">Provozovatel tržiště nebo tržnice </w:t>
      </w:r>
      <w:r>
        <w:rPr>
          <w:color w:val="auto"/>
          <w:sz w:val="22"/>
          <w:szCs w:val="22"/>
        </w:rPr>
        <w:t>je povinen zajistit</w:t>
      </w:r>
      <w:r w:rsidRPr="00F246A4">
        <w:rPr>
          <w:color w:val="auto"/>
          <w:sz w:val="22"/>
          <w:szCs w:val="22"/>
        </w:rPr>
        <w:t xml:space="preserve"> dostatečný počet nádob na odpad, vznikající v souvislosti s prodejem zboží nebo poskytováním služeb. Je-li kapacita tržiště nebo tržnice větší než 15 míst, je provozovatel povinen zajistit možnost odděleného odkládání papíru a zbytkového odpadu. </w:t>
      </w:r>
    </w:p>
    <w:p w14:paraId="5AC2F879" w14:textId="77777777" w:rsidR="00A05041" w:rsidRPr="00F246A4" w:rsidRDefault="00A05041" w:rsidP="00A05041">
      <w:pPr>
        <w:pStyle w:val="odst"/>
        <w:rPr>
          <w:color w:val="auto"/>
          <w:sz w:val="22"/>
          <w:szCs w:val="22"/>
          <w:vertAlign w:val="superscript"/>
        </w:rPr>
      </w:pPr>
      <w:r w:rsidRPr="00F246A4">
        <w:rPr>
          <w:color w:val="auto"/>
          <w:sz w:val="22"/>
          <w:szCs w:val="22"/>
        </w:rPr>
        <w:t>(4)</w:t>
      </w:r>
      <w:r w:rsidRPr="00F246A4">
        <w:rPr>
          <w:color w:val="auto"/>
          <w:sz w:val="22"/>
          <w:szCs w:val="22"/>
        </w:rPr>
        <w:tab/>
        <w:t xml:space="preserve">Provozovatel tržiště </w:t>
      </w:r>
      <w:r>
        <w:rPr>
          <w:color w:val="auto"/>
          <w:sz w:val="22"/>
          <w:szCs w:val="22"/>
        </w:rPr>
        <w:t>je povinen vést</w:t>
      </w:r>
      <w:r w:rsidRPr="00F246A4">
        <w:rPr>
          <w:color w:val="auto"/>
          <w:sz w:val="22"/>
          <w:szCs w:val="22"/>
        </w:rPr>
        <w:t xml:space="preserve"> evidenci prodávajících, která </w:t>
      </w:r>
      <w:r>
        <w:rPr>
          <w:color w:val="auto"/>
          <w:sz w:val="22"/>
          <w:szCs w:val="22"/>
        </w:rPr>
        <w:t>musí obsahovat</w:t>
      </w:r>
      <w:r w:rsidRPr="00F246A4">
        <w:rPr>
          <w:color w:val="auto"/>
          <w:sz w:val="22"/>
          <w:szCs w:val="22"/>
        </w:rPr>
        <w:t xml:space="preserve"> údaje v rozsahu uvedeném ve zvláštním právním předpise</w:t>
      </w:r>
      <w:r w:rsidRPr="00F51EDF">
        <w:rPr>
          <w:color w:val="auto"/>
          <w:sz w:val="22"/>
          <w:szCs w:val="22"/>
          <w:vertAlign w:val="superscript"/>
        </w:rPr>
        <w:t>4</w:t>
      </w:r>
      <w:r w:rsidRPr="00F246A4">
        <w:rPr>
          <w:color w:val="auto"/>
          <w:sz w:val="22"/>
          <w:szCs w:val="22"/>
          <w:vertAlign w:val="superscript"/>
        </w:rPr>
        <w:t>)</w:t>
      </w:r>
      <w:r w:rsidRPr="00F246A4">
        <w:rPr>
          <w:color w:val="auto"/>
          <w:sz w:val="22"/>
          <w:szCs w:val="22"/>
        </w:rPr>
        <w:t xml:space="preserve"> a předl</w:t>
      </w:r>
      <w:r>
        <w:rPr>
          <w:color w:val="auto"/>
          <w:sz w:val="22"/>
          <w:szCs w:val="22"/>
        </w:rPr>
        <w:t>ožit</w:t>
      </w:r>
      <w:r w:rsidRPr="00F246A4">
        <w:rPr>
          <w:color w:val="auto"/>
          <w:sz w:val="22"/>
          <w:szCs w:val="22"/>
        </w:rPr>
        <w:t xml:space="preserve"> ji na žádost dozorovému orgánu</w:t>
      </w:r>
      <w:r>
        <w:rPr>
          <w:color w:val="auto"/>
          <w:sz w:val="22"/>
          <w:szCs w:val="22"/>
        </w:rPr>
        <w:t xml:space="preserve"> nebo orgánu Celní správy České republiky</w:t>
      </w:r>
      <w:r w:rsidRPr="00F246A4">
        <w:rPr>
          <w:color w:val="auto"/>
          <w:sz w:val="22"/>
          <w:szCs w:val="22"/>
        </w:rPr>
        <w:t xml:space="preserve">. Evidenci </w:t>
      </w:r>
      <w:r>
        <w:rPr>
          <w:color w:val="auto"/>
          <w:sz w:val="22"/>
          <w:szCs w:val="22"/>
        </w:rPr>
        <w:t>je povinen uchovávat</w:t>
      </w:r>
      <w:r w:rsidRPr="00F246A4">
        <w:rPr>
          <w:color w:val="auto"/>
          <w:sz w:val="22"/>
          <w:szCs w:val="22"/>
        </w:rPr>
        <w:t xml:space="preserve"> po dobu jednoho roku ode dne provedení evidenčního záznamu.</w:t>
      </w:r>
      <w:r w:rsidRPr="00DD2854">
        <w:rPr>
          <w:color w:val="auto"/>
          <w:sz w:val="22"/>
          <w:szCs w:val="22"/>
          <w:vertAlign w:val="superscript"/>
        </w:rPr>
        <w:t>5</w:t>
      </w:r>
      <w:r w:rsidRPr="00F246A4">
        <w:rPr>
          <w:color w:val="auto"/>
          <w:sz w:val="22"/>
          <w:szCs w:val="22"/>
          <w:vertAlign w:val="superscript"/>
        </w:rPr>
        <w:t>)</w:t>
      </w:r>
    </w:p>
    <w:p w14:paraId="04C32B41" w14:textId="77777777" w:rsidR="00A05041" w:rsidRPr="00F246A4" w:rsidRDefault="00A05041" w:rsidP="00A05041">
      <w:pPr>
        <w:pStyle w:val="odst"/>
        <w:rPr>
          <w:color w:val="auto"/>
          <w:sz w:val="22"/>
          <w:szCs w:val="22"/>
        </w:rPr>
      </w:pPr>
      <w:r w:rsidRPr="00F246A4">
        <w:rPr>
          <w:color w:val="auto"/>
          <w:sz w:val="22"/>
          <w:szCs w:val="22"/>
        </w:rPr>
        <w:t>(5)</w:t>
      </w:r>
      <w:r w:rsidRPr="00F246A4">
        <w:rPr>
          <w:color w:val="auto"/>
          <w:sz w:val="22"/>
          <w:szCs w:val="22"/>
        </w:rPr>
        <w:tab/>
        <w:t xml:space="preserve">Provozovatel tržiště </w:t>
      </w:r>
      <w:r>
        <w:rPr>
          <w:color w:val="auto"/>
          <w:sz w:val="22"/>
          <w:szCs w:val="22"/>
        </w:rPr>
        <w:t>je povinen zajistit</w:t>
      </w:r>
      <w:r w:rsidRPr="00F246A4">
        <w:rPr>
          <w:color w:val="auto"/>
          <w:sz w:val="22"/>
          <w:szCs w:val="22"/>
        </w:rPr>
        <w:t>:</w:t>
      </w:r>
    </w:p>
    <w:p w14:paraId="4E5F024D" w14:textId="77777777" w:rsidR="00A05041" w:rsidRPr="00F246A4" w:rsidRDefault="00A05041" w:rsidP="00A05041">
      <w:pPr>
        <w:pStyle w:val="Default"/>
        <w:numPr>
          <w:ilvl w:val="0"/>
          <w:numId w:val="3"/>
        </w:numPr>
        <w:tabs>
          <w:tab w:val="clear" w:pos="2025"/>
          <w:tab w:val="num" w:pos="1080"/>
        </w:tabs>
        <w:spacing w:after="27"/>
        <w:ind w:left="1080" w:hanging="540"/>
        <w:jc w:val="both"/>
        <w:rPr>
          <w:color w:val="auto"/>
          <w:sz w:val="22"/>
          <w:szCs w:val="22"/>
        </w:rPr>
      </w:pPr>
      <w:r w:rsidRPr="00F246A4">
        <w:rPr>
          <w:color w:val="auto"/>
          <w:sz w:val="22"/>
          <w:szCs w:val="22"/>
        </w:rPr>
        <w:t>označení tržiště tabulkou umístěnou na okraji tržiště podle přílohy č. 3 a vymezení tržních míst bílou čarou o šířce 10 cm v rozích tržního místa, a to s výjimkou tržišť uvedených v článku 4, 5 tržního řádu,</w:t>
      </w:r>
      <w:r w:rsidRPr="00F246A4">
        <w:rPr>
          <w:i/>
          <w:color w:val="auto"/>
          <w:sz w:val="22"/>
          <w:szCs w:val="22"/>
        </w:rPr>
        <w:t xml:space="preserve">   </w:t>
      </w:r>
    </w:p>
    <w:p w14:paraId="2DE82BD3" w14:textId="77777777" w:rsidR="00A05041" w:rsidRPr="00F246A4" w:rsidRDefault="00A05041" w:rsidP="00A05041">
      <w:pPr>
        <w:pStyle w:val="Default"/>
        <w:numPr>
          <w:ilvl w:val="0"/>
          <w:numId w:val="3"/>
        </w:numPr>
        <w:tabs>
          <w:tab w:val="clear" w:pos="2025"/>
          <w:tab w:val="num" w:pos="1080"/>
        </w:tabs>
        <w:spacing w:after="27"/>
        <w:ind w:left="1080" w:hanging="540"/>
        <w:jc w:val="both"/>
        <w:rPr>
          <w:color w:val="auto"/>
          <w:sz w:val="22"/>
          <w:szCs w:val="22"/>
        </w:rPr>
      </w:pPr>
      <w:r w:rsidRPr="00F246A4">
        <w:rPr>
          <w:color w:val="auto"/>
          <w:sz w:val="22"/>
          <w:szCs w:val="22"/>
        </w:rPr>
        <w:lastRenderedPageBreak/>
        <w:t>dodržování provozní doby, kapacity, druhu prodávaného zboží, poskytování služeb a vybavenosti tržiště,</w:t>
      </w:r>
    </w:p>
    <w:p w14:paraId="3EE60E0D" w14:textId="77777777" w:rsidR="00A05041" w:rsidRPr="00F246A4" w:rsidRDefault="00A05041" w:rsidP="00A05041">
      <w:pPr>
        <w:pStyle w:val="Default"/>
        <w:numPr>
          <w:ilvl w:val="0"/>
          <w:numId w:val="3"/>
        </w:numPr>
        <w:tabs>
          <w:tab w:val="clear" w:pos="2025"/>
          <w:tab w:val="num" w:pos="1080"/>
        </w:tabs>
        <w:spacing w:after="27"/>
        <w:ind w:left="1080" w:hanging="540"/>
        <w:jc w:val="both"/>
        <w:rPr>
          <w:color w:val="auto"/>
          <w:sz w:val="22"/>
          <w:szCs w:val="22"/>
        </w:rPr>
      </w:pPr>
      <w:r w:rsidRPr="00F246A4">
        <w:rPr>
          <w:color w:val="auto"/>
          <w:sz w:val="22"/>
          <w:szCs w:val="22"/>
        </w:rPr>
        <w:t>v případě umístění stánků ve dvou a více řadách dostatečný odstup mezi řadami včetně vystaveného zboží, beden apod.</w:t>
      </w:r>
    </w:p>
    <w:p w14:paraId="1AB5DEBE" w14:textId="77777777" w:rsidR="00A05041" w:rsidRPr="00F246A4" w:rsidRDefault="00A05041" w:rsidP="00A05041">
      <w:pPr>
        <w:pStyle w:val="odst"/>
        <w:rPr>
          <w:color w:val="auto"/>
          <w:sz w:val="22"/>
          <w:szCs w:val="22"/>
        </w:rPr>
      </w:pPr>
      <w:r w:rsidRPr="00F246A4" w:rsidDel="005201BE">
        <w:rPr>
          <w:color w:val="auto"/>
          <w:sz w:val="22"/>
          <w:szCs w:val="22"/>
        </w:rPr>
        <w:t xml:space="preserve"> </w:t>
      </w:r>
      <w:r w:rsidRPr="00F246A4">
        <w:rPr>
          <w:color w:val="auto"/>
          <w:sz w:val="22"/>
          <w:szCs w:val="22"/>
        </w:rPr>
        <w:t>(6)</w:t>
      </w:r>
      <w:r w:rsidRPr="00F246A4">
        <w:rPr>
          <w:color w:val="auto"/>
          <w:sz w:val="22"/>
          <w:szCs w:val="22"/>
        </w:rPr>
        <w:tab/>
        <w:t>Prodejce</w:t>
      </w:r>
      <w:r>
        <w:rPr>
          <w:color w:val="auto"/>
          <w:sz w:val="22"/>
          <w:szCs w:val="22"/>
        </w:rPr>
        <w:t xml:space="preserve"> je povinen</w:t>
      </w:r>
      <w:r w:rsidRPr="00F246A4">
        <w:rPr>
          <w:color w:val="auto"/>
          <w:sz w:val="22"/>
          <w:szCs w:val="22"/>
        </w:rPr>
        <w:t>:</w:t>
      </w:r>
    </w:p>
    <w:p w14:paraId="4E2EE694" w14:textId="77777777" w:rsidR="00A05041" w:rsidRPr="00F246A4" w:rsidRDefault="00A05041" w:rsidP="00A05041">
      <w:pPr>
        <w:pStyle w:val="Default"/>
        <w:numPr>
          <w:ilvl w:val="0"/>
          <w:numId w:val="4"/>
        </w:numPr>
        <w:tabs>
          <w:tab w:val="clear" w:pos="2025"/>
          <w:tab w:val="num" w:pos="1080"/>
        </w:tabs>
        <w:spacing w:after="27"/>
        <w:ind w:left="1080" w:hanging="540"/>
        <w:jc w:val="both"/>
        <w:rPr>
          <w:color w:val="auto"/>
          <w:sz w:val="22"/>
          <w:szCs w:val="22"/>
        </w:rPr>
      </w:pPr>
      <w:r w:rsidRPr="00F246A4">
        <w:rPr>
          <w:color w:val="auto"/>
          <w:sz w:val="22"/>
          <w:szCs w:val="22"/>
        </w:rPr>
        <w:t>udrž</w:t>
      </w:r>
      <w:r>
        <w:rPr>
          <w:color w:val="auto"/>
          <w:sz w:val="22"/>
          <w:szCs w:val="22"/>
        </w:rPr>
        <w:t>ovat</w:t>
      </w:r>
      <w:r w:rsidRPr="00F246A4">
        <w:rPr>
          <w:color w:val="auto"/>
          <w:sz w:val="22"/>
          <w:szCs w:val="22"/>
        </w:rPr>
        <w:t xml:space="preserve"> přidělené tržní místo v čistotě, a po skončení činnosti je zanech</w:t>
      </w:r>
      <w:r>
        <w:rPr>
          <w:color w:val="auto"/>
          <w:sz w:val="22"/>
          <w:szCs w:val="22"/>
        </w:rPr>
        <w:t>at</w:t>
      </w:r>
      <w:r w:rsidRPr="00F246A4">
        <w:rPr>
          <w:color w:val="auto"/>
          <w:sz w:val="22"/>
          <w:szCs w:val="22"/>
        </w:rPr>
        <w:t xml:space="preserve"> čisté a uklizené, </w:t>
      </w:r>
    </w:p>
    <w:p w14:paraId="7850A782" w14:textId="77777777" w:rsidR="00A05041" w:rsidRDefault="00A05041" w:rsidP="00A05041">
      <w:pPr>
        <w:pStyle w:val="Default"/>
        <w:numPr>
          <w:ilvl w:val="0"/>
          <w:numId w:val="4"/>
        </w:numPr>
        <w:tabs>
          <w:tab w:val="clear" w:pos="2025"/>
          <w:tab w:val="num" w:pos="1080"/>
        </w:tabs>
        <w:spacing w:after="27"/>
        <w:ind w:left="1080" w:hanging="540"/>
        <w:jc w:val="both"/>
        <w:rPr>
          <w:color w:val="auto"/>
          <w:sz w:val="22"/>
          <w:szCs w:val="22"/>
        </w:rPr>
      </w:pPr>
      <w:r w:rsidRPr="00F246A4">
        <w:rPr>
          <w:color w:val="auto"/>
          <w:sz w:val="22"/>
          <w:szCs w:val="22"/>
        </w:rPr>
        <w:t>nabíz</w:t>
      </w:r>
      <w:r>
        <w:rPr>
          <w:color w:val="auto"/>
          <w:sz w:val="22"/>
          <w:szCs w:val="22"/>
        </w:rPr>
        <w:t>et</w:t>
      </w:r>
      <w:r w:rsidRPr="00F246A4">
        <w:rPr>
          <w:color w:val="auto"/>
          <w:sz w:val="22"/>
          <w:szCs w:val="22"/>
        </w:rPr>
        <w:t xml:space="preserve"> a prodáv</w:t>
      </w:r>
      <w:r>
        <w:rPr>
          <w:color w:val="auto"/>
          <w:sz w:val="22"/>
          <w:szCs w:val="22"/>
        </w:rPr>
        <w:t>at</w:t>
      </w:r>
      <w:r w:rsidRPr="00F246A4">
        <w:rPr>
          <w:color w:val="auto"/>
          <w:sz w:val="22"/>
          <w:szCs w:val="22"/>
        </w:rPr>
        <w:t xml:space="preserve"> zboží nebo poskyt</w:t>
      </w:r>
      <w:r>
        <w:rPr>
          <w:color w:val="auto"/>
          <w:sz w:val="22"/>
          <w:szCs w:val="22"/>
        </w:rPr>
        <w:t>ovat</w:t>
      </w:r>
      <w:r w:rsidRPr="00F246A4">
        <w:rPr>
          <w:color w:val="auto"/>
          <w:sz w:val="22"/>
          <w:szCs w:val="22"/>
        </w:rPr>
        <w:t xml:space="preserve"> služby v souladu s příslušnými právními předpisy</w:t>
      </w:r>
      <w:r w:rsidRPr="00065EC8">
        <w:rPr>
          <w:color w:val="auto"/>
          <w:sz w:val="22"/>
          <w:szCs w:val="22"/>
          <w:vertAlign w:val="superscript"/>
        </w:rPr>
        <w:t>6</w:t>
      </w:r>
      <w:r w:rsidRPr="00F246A4">
        <w:rPr>
          <w:color w:val="auto"/>
          <w:sz w:val="22"/>
          <w:szCs w:val="22"/>
          <w:vertAlign w:val="superscript"/>
        </w:rPr>
        <w:t>)</w:t>
      </w:r>
      <w:r w:rsidRPr="00F246A4">
        <w:rPr>
          <w:color w:val="auto"/>
          <w:sz w:val="22"/>
          <w:szCs w:val="22"/>
        </w:rPr>
        <w:t>,</w:t>
      </w:r>
    </w:p>
    <w:p w14:paraId="49372E12" w14:textId="77777777" w:rsidR="00A05041" w:rsidRDefault="00A05041" w:rsidP="00A05041">
      <w:pPr>
        <w:pStyle w:val="Default"/>
        <w:numPr>
          <w:ilvl w:val="0"/>
          <w:numId w:val="4"/>
        </w:numPr>
        <w:tabs>
          <w:tab w:val="clear" w:pos="2025"/>
          <w:tab w:val="num" w:pos="1080"/>
        </w:tabs>
        <w:spacing w:after="27"/>
        <w:ind w:left="1080" w:hanging="540"/>
        <w:jc w:val="both"/>
        <w:rPr>
          <w:color w:val="auto"/>
          <w:sz w:val="22"/>
          <w:szCs w:val="22"/>
        </w:rPr>
      </w:pPr>
      <w:r w:rsidRPr="006A7A9D">
        <w:rPr>
          <w:color w:val="auto"/>
          <w:sz w:val="22"/>
          <w:szCs w:val="22"/>
        </w:rPr>
        <w:t>zaji</w:t>
      </w:r>
      <w:r>
        <w:rPr>
          <w:color w:val="auto"/>
          <w:sz w:val="22"/>
          <w:szCs w:val="22"/>
        </w:rPr>
        <w:t>stit</w:t>
      </w:r>
      <w:r w:rsidRPr="006A7A9D">
        <w:rPr>
          <w:color w:val="auto"/>
          <w:sz w:val="22"/>
          <w:szCs w:val="22"/>
        </w:rPr>
        <w:t>, aby v době stanovené k ukončení prodeje zboží nebo poskytování služeb podle článku 9 tohoto nařízení na předsunutém prodejním místě byl ukončen prodej a proveden úklid a v restaurační předzahrádce byla ukončena obsluha, proveden úklid a nezdržovali se v ní hosté</w:t>
      </w:r>
      <w:r>
        <w:rPr>
          <w:color w:val="auto"/>
          <w:sz w:val="22"/>
          <w:szCs w:val="22"/>
        </w:rPr>
        <w:t>.</w:t>
      </w:r>
    </w:p>
    <w:p w14:paraId="64EF4E84" w14:textId="77777777" w:rsidR="00A05041" w:rsidRPr="00F246A4" w:rsidRDefault="00A05041" w:rsidP="00A05041">
      <w:pPr>
        <w:pStyle w:val="Default"/>
        <w:jc w:val="center"/>
        <w:rPr>
          <w:b/>
          <w:bCs/>
          <w:color w:val="auto"/>
          <w:sz w:val="22"/>
        </w:rPr>
      </w:pPr>
    </w:p>
    <w:p w14:paraId="4BA3FFF5" w14:textId="77777777" w:rsidR="00A05041" w:rsidRPr="00F246A4" w:rsidRDefault="00A05041" w:rsidP="00A05041">
      <w:pPr>
        <w:pStyle w:val="Default"/>
        <w:jc w:val="center"/>
        <w:rPr>
          <w:b/>
          <w:bCs/>
          <w:color w:val="auto"/>
          <w:sz w:val="22"/>
        </w:rPr>
      </w:pPr>
    </w:p>
    <w:p w14:paraId="6D9F4A52" w14:textId="77777777" w:rsidR="00A05041" w:rsidRPr="00F246A4" w:rsidRDefault="00A05041" w:rsidP="00A05041">
      <w:pPr>
        <w:pStyle w:val="Default"/>
        <w:jc w:val="center"/>
        <w:rPr>
          <w:b/>
          <w:bCs/>
          <w:color w:val="auto"/>
          <w:sz w:val="22"/>
        </w:rPr>
      </w:pPr>
      <w:r w:rsidRPr="00F246A4">
        <w:rPr>
          <w:b/>
          <w:bCs/>
          <w:color w:val="auto"/>
          <w:sz w:val="22"/>
        </w:rPr>
        <w:t>Článek 11</w:t>
      </w:r>
    </w:p>
    <w:p w14:paraId="12F31059" w14:textId="77777777" w:rsidR="00A05041" w:rsidRPr="00F246A4" w:rsidRDefault="00A05041" w:rsidP="00A05041">
      <w:pPr>
        <w:pStyle w:val="Default"/>
        <w:jc w:val="center"/>
        <w:rPr>
          <w:b/>
          <w:bCs/>
          <w:color w:val="auto"/>
          <w:sz w:val="22"/>
        </w:rPr>
      </w:pPr>
      <w:r w:rsidRPr="00F246A4">
        <w:rPr>
          <w:b/>
          <w:bCs/>
          <w:color w:val="auto"/>
          <w:sz w:val="22"/>
        </w:rPr>
        <w:t>Závěrečná a zrušovací ustanovení</w:t>
      </w:r>
    </w:p>
    <w:p w14:paraId="11C6D0D2" w14:textId="77777777" w:rsidR="00A05041" w:rsidRPr="00F246A4" w:rsidRDefault="00A05041" w:rsidP="00A05041">
      <w:pPr>
        <w:pStyle w:val="odst"/>
        <w:numPr>
          <w:ilvl w:val="0"/>
          <w:numId w:val="5"/>
        </w:numPr>
        <w:rPr>
          <w:color w:val="auto"/>
          <w:sz w:val="22"/>
          <w:szCs w:val="22"/>
        </w:rPr>
      </w:pPr>
      <w:r w:rsidRPr="00F246A4">
        <w:rPr>
          <w:color w:val="auto"/>
          <w:sz w:val="22"/>
          <w:szCs w:val="22"/>
        </w:rPr>
        <w:t>Porušení tohoto nařízení se postihuje podle zvláštních právních předpisů</w:t>
      </w:r>
      <w:r>
        <w:rPr>
          <w:color w:val="auto"/>
          <w:sz w:val="22"/>
          <w:szCs w:val="22"/>
          <w:vertAlign w:val="superscript"/>
        </w:rPr>
        <w:t>7</w:t>
      </w:r>
      <w:r w:rsidRPr="00F246A4">
        <w:rPr>
          <w:color w:val="auto"/>
          <w:sz w:val="22"/>
          <w:szCs w:val="22"/>
          <w:vertAlign w:val="superscript"/>
        </w:rPr>
        <w:t>)</w:t>
      </w:r>
      <w:r w:rsidRPr="00F246A4">
        <w:rPr>
          <w:color w:val="auto"/>
          <w:sz w:val="22"/>
          <w:szCs w:val="22"/>
        </w:rPr>
        <w:t>.</w:t>
      </w:r>
    </w:p>
    <w:p w14:paraId="1345BB65" w14:textId="77777777" w:rsidR="00A05041" w:rsidRPr="00F246A4" w:rsidRDefault="00A05041" w:rsidP="00A05041">
      <w:pPr>
        <w:pStyle w:val="odst"/>
        <w:numPr>
          <w:ilvl w:val="0"/>
          <w:numId w:val="5"/>
        </w:numPr>
        <w:rPr>
          <w:color w:val="auto"/>
          <w:sz w:val="22"/>
          <w:szCs w:val="22"/>
        </w:rPr>
      </w:pPr>
      <w:r w:rsidRPr="00F246A4">
        <w:rPr>
          <w:color w:val="auto"/>
          <w:sz w:val="22"/>
          <w:szCs w:val="22"/>
        </w:rPr>
        <w:t xml:space="preserve">Výběr provozovatele pravidelných farmářských trhů dle článku 4 tohoto nařízení a městského jarmarku dle článku 5 tohoto nařízení jakožto jednorázové akce, zajišťuje transparentně statutární město Přerov.  </w:t>
      </w:r>
    </w:p>
    <w:p w14:paraId="7532C085" w14:textId="77777777" w:rsidR="00A05041" w:rsidRPr="00F246A4" w:rsidRDefault="00A05041" w:rsidP="00A05041">
      <w:pPr>
        <w:pStyle w:val="odst"/>
        <w:numPr>
          <w:ilvl w:val="0"/>
          <w:numId w:val="5"/>
        </w:numPr>
        <w:rPr>
          <w:color w:val="auto"/>
          <w:sz w:val="22"/>
          <w:szCs w:val="22"/>
        </w:rPr>
      </w:pPr>
      <w:r w:rsidRPr="00F246A4">
        <w:rPr>
          <w:color w:val="auto"/>
          <w:sz w:val="22"/>
          <w:szCs w:val="22"/>
        </w:rPr>
        <w:t>Zrušují se:</w:t>
      </w:r>
    </w:p>
    <w:p w14:paraId="37109C50"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1/2016, kterým se vydává tržní řád, ze dne 2.6.2016,</w:t>
      </w:r>
    </w:p>
    <w:p w14:paraId="1349756B"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2/2016, kterým se mění a doplňuje Nařízení města Přerova č. 1/2016, kterým se vydává tržní řád ze dne 5.10.2016,</w:t>
      </w:r>
    </w:p>
    <w:p w14:paraId="042A40DF"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2/2017, kterým se mění Nařízení města Přerova č. 1/2016, kterým se vydává tržní řád, ve znění Nařízení města Přerova č. 2/2016 ze dne 19.4.2017,</w:t>
      </w:r>
    </w:p>
    <w:p w14:paraId="64076AEC"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3/2017, kterým se mění Nařízení města Přerova č. 1/2016, kterým se vydává tržní řád, ve znění Nařízení města Přerova č. 2/2016 a Nařízení města Přerova č. 2/2017 ze dne 2.11.2017,</w:t>
      </w:r>
    </w:p>
    <w:p w14:paraId="0B9DDD9E"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2/2018, kterým se mění Nařízení města Přerova č. 1/2016, kterým se vydává tržní řád, ve znění Nařízení města Přerova č. 2/2016, Nařízení města Přerova č. 2/2017 a Nařízení města Přerova č. 3/2017 ze dne 4.10.2018,</w:t>
      </w:r>
    </w:p>
    <w:p w14:paraId="424BAFDE"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1/2019, kterým se mění Nařízení města Přerova č. 1/2016, ve znění Nařízení města Přerova č. 2/2016, Nařízení města Přerova č. 2/2017, Nařízení města Přerova č. 3/2017 a Nařízení města Přerova č. 2/2018 ze dne 28.2.2019,</w:t>
      </w:r>
    </w:p>
    <w:p w14:paraId="6CA6BDB3"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2/2019, kterým se mění Nařízení města Přerova č. 1/2016, ve znění Nařízení města Přerova č. 2/2016, Nařízení města Přerova č. 2/2017, Nařízení města Přerova č. 3/2017, Nařízení města Přerova č. 2/2018 a Nařízení města Přerova č. 1/2019 ze dne 17.10.2019,</w:t>
      </w:r>
    </w:p>
    <w:p w14:paraId="53C86500" w14:textId="77777777" w:rsidR="00A05041" w:rsidRPr="00F246A4" w:rsidRDefault="00A05041" w:rsidP="00A05041">
      <w:pPr>
        <w:pStyle w:val="odst"/>
        <w:numPr>
          <w:ilvl w:val="0"/>
          <w:numId w:val="10"/>
        </w:numPr>
        <w:tabs>
          <w:tab w:val="clear" w:pos="540"/>
        </w:tabs>
        <w:rPr>
          <w:color w:val="auto"/>
          <w:sz w:val="22"/>
          <w:szCs w:val="22"/>
        </w:rPr>
      </w:pPr>
      <w:r w:rsidRPr="00F246A4">
        <w:rPr>
          <w:color w:val="auto"/>
          <w:sz w:val="22"/>
          <w:szCs w:val="22"/>
        </w:rPr>
        <w:t>Nařízení města Přerova č. 2/2021, kterým se mění Nařízení města Přerova č. 1/2016, kterým se vydává tržní řád, ve znění Nařízení města Přerova č. 2/2016, Nařízení města Přerova č. 2/2017, Nařízení města Přerova č. 3/2017, Nařízení města Přerova č. 2/2018, Nařízení města Přerova č. 1/2019 a Nařízení města Přerova č. 2/2019 ze dne 18.11.2021.</w:t>
      </w:r>
    </w:p>
    <w:p w14:paraId="49D79D45" w14:textId="77777777" w:rsidR="00A05041" w:rsidRPr="00F246A4" w:rsidRDefault="00A05041" w:rsidP="00A05041">
      <w:pPr>
        <w:pStyle w:val="odst"/>
        <w:numPr>
          <w:ilvl w:val="0"/>
          <w:numId w:val="5"/>
        </w:numPr>
        <w:rPr>
          <w:color w:val="auto"/>
          <w:sz w:val="22"/>
          <w:szCs w:val="22"/>
        </w:rPr>
      </w:pPr>
      <w:r w:rsidRPr="00F246A4">
        <w:rPr>
          <w:color w:val="auto"/>
          <w:sz w:val="22"/>
          <w:szCs w:val="22"/>
        </w:rPr>
        <w:t xml:space="preserve">Toto nařízení města Přerova nabývá účinnosti </w:t>
      </w:r>
      <w:r>
        <w:rPr>
          <w:color w:val="auto"/>
          <w:sz w:val="22"/>
          <w:szCs w:val="22"/>
        </w:rPr>
        <w:t xml:space="preserve">počátkem patnáctého dne následujícího po dni jeho vyhlášení. </w:t>
      </w:r>
    </w:p>
    <w:p w14:paraId="6FB94BF6" w14:textId="77777777" w:rsidR="00A05041" w:rsidRPr="00F246A4" w:rsidRDefault="00A05041" w:rsidP="00A05041">
      <w:pPr>
        <w:pStyle w:val="Default"/>
        <w:rPr>
          <w:color w:val="auto"/>
          <w:sz w:val="22"/>
          <w:szCs w:val="22"/>
        </w:rPr>
      </w:pPr>
    </w:p>
    <w:p w14:paraId="32A40BC9" w14:textId="77777777" w:rsidR="00A05041" w:rsidRPr="00F246A4" w:rsidRDefault="00A05041" w:rsidP="00A05041">
      <w:pPr>
        <w:pStyle w:val="Default"/>
        <w:rPr>
          <w:color w:val="auto"/>
          <w:sz w:val="22"/>
          <w:szCs w:val="22"/>
        </w:rPr>
      </w:pPr>
      <w:r w:rsidRPr="00F246A4">
        <w:rPr>
          <w:color w:val="auto"/>
          <w:sz w:val="22"/>
          <w:szCs w:val="22"/>
        </w:rPr>
        <w:t xml:space="preserve"> </w:t>
      </w:r>
    </w:p>
    <w:p w14:paraId="5A64FBC1" w14:textId="77777777" w:rsidR="00A05041" w:rsidRPr="00F246A4" w:rsidRDefault="00A05041" w:rsidP="00A05041">
      <w:pPr>
        <w:pStyle w:val="Default"/>
        <w:rPr>
          <w:color w:val="auto"/>
          <w:sz w:val="22"/>
          <w:szCs w:val="22"/>
        </w:rPr>
      </w:pPr>
    </w:p>
    <w:p w14:paraId="798A16EB" w14:textId="77777777" w:rsidR="00A05041" w:rsidRPr="00F246A4" w:rsidRDefault="00A05041" w:rsidP="00A05041">
      <w:pPr>
        <w:pStyle w:val="Default"/>
        <w:ind w:left="708"/>
        <w:rPr>
          <w:color w:val="auto"/>
          <w:sz w:val="22"/>
          <w:szCs w:val="22"/>
        </w:rPr>
      </w:pPr>
    </w:p>
    <w:p w14:paraId="419E3D84" w14:textId="38ABFB58" w:rsidR="00A05041" w:rsidRPr="00F246A4" w:rsidRDefault="00A05041" w:rsidP="00A05041">
      <w:pPr>
        <w:pStyle w:val="Default"/>
        <w:ind w:left="708"/>
        <w:rPr>
          <w:color w:val="auto"/>
          <w:sz w:val="22"/>
          <w:szCs w:val="22"/>
        </w:rPr>
      </w:pPr>
      <w:r w:rsidRPr="00F246A4">
        <w:rPr>
          <w:color w:val="auto"/>
          <w:sz w:val="22"/>
          <w:szCs w:val="22"/>
        </w:rPr>
        <w:t>Ing. Petr Měřínský</w:t>
      </w:r>
      <w:r w:rsidR="0021192A">
        <w:rPr>
          <w:color w:val="auto"/>
          <w:sz w:val="22"/>
          <w:szCs w:val="22"/>
        </w:rPr>
        <w:t>, v.r.</w:t>
      </w:r>
      <w:r w:rsidRPr="00F246A4">
        <w:rPr>
          <w:color w:val="auto"/>
          <w:sz w:val="22"/>
          <w:szCs w:val="22"/>
        </w:rPr>
        <w:tab/>
      </w:r>
      <w:r w:rsidRPr="00F246A4">
        <w:rPr>
          <w:color w:val="auto"/>
          <w:sz w:val="22"/>
          <w:szCs w:val="22"/>
        </w:rPr>
        <w:tab/>
      </w:r>
      <w:r w:rsidRPr="00F246A4">
        <w:rPr>
          <w:color w:val="auto"/>
          <w:sz w:val="22"/>
          <w:szCs w:val="22"/>
        </w:rPr>
        <w:tab/>
      </w:r>
      <w:r w:rsidRPr="00F246A4">
        <w:rPr>
          <w:color w:val="auto"/>
          <w:sz w:val="22"/>
          <w:szCs w:val="22"/>
        </w:rPr>
        <w:tab/>
      </w:r>
      <w:r w:rsidRPr="00F246A4">
        <w:rPr>
          <w:color w:val="auto"/>
          <w:sz w:val="22"/>
          <w:szCs w:val="22"/>
        </w:rPr>
        <w:tab/>
        <w:t xml:space="preserve">    Mgr. Petr Kouba</w:t>
      </w:r>
      <w:r w:rsidR="0021192A">
        <w:rPr>
          <w:color w:val="auto"/>
          <w:sz w:val="22"/>
          <w:szCs w:val="22"/>
        </w:rPr>
        <w:t>, v.r.</w:t>
      </w:r>
    </w:p>
    <w:p w14:paraId="13F86B6B" w14:textId="0B16BC20" w:rsidR="00A05041" w:rsidRPr="00A05041" w:rsidRDefault="00A05041" w:rsidP="00A05041">
      <w:pPr>
        <w:pStyle w:val="Default"/>
        <w:rPr>
          <w:color w:val="auto"/>
          <w:sz w:val="22"/>
          <w:szCs w:val="22"/>
        </w:rPr>
      </w:pPr>
      <w:r w:rsidRPr="00F246A4">
        <w:rPr>
          <w:color w:val="auto"/>
          <w:sz w:val="22"/>
          <w:szCs w:val="22"/>
        </w:rPr>
        <w:t xml:space="preserve">                </w:t>
      </w:r>
      <w:r>
        <w:rPr>
          <w:color w:val="auto"/>
          <w:sz w:val="22"/>
          <w:szCs w:val="22"/>
        </w:rPr>
        <w:t xml:space="preserve">   </w:t>
      </w:r>
      <w:r w:rsidRPr="00F246A4">
        <w:rPr>
          <w:color w:val="auto"/>
          <w:sz w:val="22"/>
          <w:szCs w:val="22"/>
        </w:rPr>
        <w:t xml:space="preserve"> primátor </w:t>
      </w:r>
      <w:r w:rsidRPr="00F246A4">
        <w:rPr>
          <w:color w:val="auto"/>
          <w:sz w:val="22"/>
          <w:szCs w:val="22"/>
        </w:rPr>
        <w:tab/>
      </w:r>
      <w:r w:rsidRPr="00F246A4">
        <w:rPr>
          <w:color w:val="auto"/>
          <w:sz w:val="22"/>
          <w:szCs w:val="22"/>
        </w:rPr>
        <w:tab/>
      </w:r>
      <w:r w:rsidRPr="00F246A4">
        <w:rPr>
          <w:color w:val="auto"/>
          <w:sz w:val="22"/>
          <w:szCs w:val="22"/>
        </w:rPr>
        <w:tab/>
      </w:r>
      <w:r w:rsidRPr="00F246A4">
        <w:rPr>
          <w:color w:val="auto"/>
          <w:sz w:val="22"/>
          <w:szCs w:val="22"/>
        </w:rPr>
        <w:tab/>
        <w:t xml:space="preserve">                         </w:t>
      </w:r>
      <w:r>
        <w:rPr>
          <w:color w:val="auto"/>
          <w:sz w:val="22"/>
          <w:szCs w:val="22"/>
        </w:rPr>
        <w:t xml:space="preserve">   </w:t>
      </w:r>
      <w:r w:rsidR="0021192A">
        <w:rPr>
          <w:color w:val="auto"/>
          <w:sz w:val="22"/>
          <w:szCs w:val="22"/>
        </w:rPr>
        <w:t xml:space="preserve">    </w:t>
      </w:r>
      <w:r w:rsidRPr="00F246A4">
        <w:rPr>
          <w:color w:val="auto"/>
          <w:sz w:val="22"/>
          <w:szCs w:val="22"/>
        </w:rPr>
        <w:t>náměstek primá</w:t>
      </w:r>
      <w:r>
        <w:rPr>
          <w:color w:val="auto"/>
          <w:sz w:val="22"/>
          <w:szCs w:val="22"/>
        </w:rPr>
        <w:t>tora</w:t>
      </w:r>
    </w:p>
    <w:p w14:paraId="2623ACFA" w14:textId="41AFA938" w:rsidR="00A05041" w:rsidRDefault="00A05041" w:rsidP="00A05041">
      <w:pPr>
        <w:pStyle w:val="Default"/>
        <w:rPr>
          <w:color w:val="auto"/>
          <w:sz w:val="11"/>
          <w:szCs w:val="11"/>
        </w:rPr>
      </w:pPr>
    </w:p>
    <w:p w14:paraId="0AFB9E3E" w14:textId="71F25C47" w:rsidR="00A05041" w:rsidRDefault="00A05041" w:rsidP="00A05041">
      <w:pPr>
        <w:pStyle w:val="Default"/>
        <w:rPr>
          <w:color w:val="auto"/>
          <w:sz w:val="11"/>
          <w:szCs w:val="11"/>
        </w:rPr>
      </w:pPr>
    </w:p>
    <w:p w14:paraId="79CB12FD" w14:textId="7EA47635" w:rsidR="00A05041" w:rsidRDefault="00A05041" w:rsidP="00A05041">
      <w:pPr>
        <w:pStyle w:val="Default"/>
        <w:rPr>
          <w:color w:val="auto"/>
          <w:sz w:val="11"/>
          <w:szCs w:val="11"/>
        </w:rPr>
      </w:pPr>
    </w:p>
    <w:p w14:paraId="0657CAAA" w14:textId="71069586" w:rsidR="00A05041" w:rsidRDefault="00A05041" w:rsidP="00A05041">
      <w:pPr>
        <w:pStyle w:val="Default"/>
        <w:rPr>
          <w:color w:val="auto"/>
          <w:sz w:val="11"/>
          <w:szCs w:val="11"/>
        </w:rPr>
      </w:pPr>
    </w:p>
    <w:p w14:paraId="24A3379B" w14:textId="24990DF3" w:rsidR="00A05041" w:rsidRDefault="00A05041" w:rsidP="00A05041">
      <w:pPr>
        <w:pStyle w:val="Default"/>
        <w:rPr>
          <w:color w:val="auto"/>
          <w:sz w:val="11"/>
          <w:szCs w:val="11"/>
        </w:rPr>
      </w:pPr>
    </w:p>
    <w:p w14:paraId="1EB8F88C" w14:textId="3923E176" w:rsidR="00A05041" w:rsidRDefault="00A05041" w:rsidP="00A05041">
      <w:pPr>
        <w:pStyle w:val="Default"/>
        <w:rPr>
          <w:color w:val="auto"/>
          <w:sz w:val="11"/>
          <w:szCs w:val="11"/>
        </w:rPr>
      </w:pPr>
    </w:p>
    <w:p w14:paraId="0E3056C2" w14:textId="77777777" w:rsidR="00A05041" w:rsidRDefault="00A05041" w:rsidP="00A05041">
      <w:pPr>
        <w:pStyle w:val="Default"/>
        <w:rPr>
          <w:color w:val="auto"/>
          <w:sz w:val="11"/>
          <w:szCs w:val="11"/>
        </w:rPr>
      </w:pPr>
    </w:p>
    <w:p w14:paraId="5FD1AE06" w14:textId="77777777" w:rsidR="00A05041" w:rsidRPr="00F246A4" w:rsidRDefault="00A05041" w:rsidP="00A05041">
      <w:pPr>
        <w:pStyle w:val="Default"/>
        <w:rPr>
          <w:color w:val="auto"/>
          <w:sz w:val="11"/>
          <w:szCs w:val="11"/>
        </w:rPr>
      </w:pPr>
    </w:p>
    <w:p w14:paraId="0A0E0D8D" w14:textId="77777777" w:rsidR="00A05041" w:rsidRPr="005614C2" w:rsidRDefault="00A05041" w:rsidP="00A05041">
      <w:pPr>
        <w:pStyle w:val="Default"/>
        <w:rPr>
          <w:color w:val="auto"/>
          <w:sz w:val="22"/>
          <w:szCs w:val="22"/>
        </w:rPr>
      </w:pPr>
      <w:r>
        <w:rPr>
          <w:color w:val="auto"/>
          <w:sz w:val="22"/>
          <w:szCs w:val="22"/>
        </w:rPr>
        <w:t>---------------------------------------------------------------------------------------------------------------------------</w:t>
      </w:r>
    </w:p>
    <w:p w14:paraId="582A86E1" w14:textId="77777777" w:rsidR="00A05041" w:rsidRPr="00F246A4" w:rsidRDefault="00A05041" w:rsidP="00A05041">
      <w:pPr>
        <w:pStyle w:val="Default"/>
        <w:rPr>
          <w:color w:val="auto"/>
          <w:sz w:val="11"/>
          <w:szCs w:val="11"/>
        </w:rPr>
      </w:pPr>
    </w:p>
    <w:p w14:paraId="72854977" w14:textId="77777777" w:rsidR="00A05041" w:rsidRPr="006930E6" w:rsidRDefault="00A05041" w:rsidP="00A05041">
      <w:pPr>
        <w:pStyle w:val="Default"/>
        <w:jc w:val="both"/>
        <w:rPr>
          <w:color w:val="auto"/>
          <w:sz w:val="22"/>
          <w:szCs w:val="22"/>
        </w:rPr>
      </w:pP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F246A4">
        <w:rPr>
          <w:color w:val="auto"/>
          <w:sz w:val="11"/>
          <w:szCs w:val="11"/>
        </w:rPr>
        <w:softHyphen/>
      </w:r>
      <w:r w:rsidRPr="009605AF">
        <w:rPr>
          <w:color w:val="auto"/>
          <w:sz w:val="20"/>
          <w:szCs w:val="20"/>
          <w:vertAlign w:val="superscript"/>
        </w:rPr>
        <w:t>1)</w:t>
      </w:r>
      <w:r w:rsidRPr="009605AF">
        <w:rPr>
          <w:color w:val="auto"/>
          <w:sz w:val="20"/>
          <w:szCs w:val="20"/>
        </w:rPr>
        <w:t xml:space="preserve"> zákon č. 183/2006 Sb., o územním plánování a stavebním řádu (stavební zákon), ve znění pozdějších předpisů</w:t>
      </w:r>
    </w:p>
    <w:p w14:paraId="7E60515D" w14:textId="77777777" w:rsidR="00A05041" w:rsidRPr="009605AF" w:rsidRDefault="00A05041" w:rsidP="00A05041">
      <w:pPr>
        <w:pStyle w:val="Default"/>
        <w:jc w:val="both"/>
        <w:rPr>
          <w:color w:val="auto"/>
          <w:sz w:val="20"/>
          <w:szCs w:val="20"/>
        </w:rPr>
      </w:pPr>
      <w:r w:rsidRPr="009605AF">
        <w:rPr>
          <w:color w:val="auto"/>
          <w:sz w:val="20"/>
          <w:szCs w:val="20"/>
          <w:vertAlign w:val="superscript"/>
        </w:rPr>
        <w:t>2)</w:t>
      </w:r>
      <w:r w:rsidRPr="009605AF">
        <w:rPr>
          <w:color w:val="auto"/>
          <w:sz w:val="20"/>
          <w:szCs w:val="20"/>
        </w:rPr>
        <w:t xml:space="preserve"> vyhláška č. 289/2007 Sb., o veterinárních a hygienických požadavcích na živočišné produkty, které nejsou upraveny přímo použitelnými předpisy Evropských společenství, ve znění pozdějších předpisů</w:t>
      </w:r>
    </w:p>
    <w:p w14:paraId="501E55CB" w14:textId="77777777" w:rsidR="00A05041" w:rsidRDefault="00A05041" w:rsidP="00A05041">
      <w:pPr>
        <w:pStyle w:val="Default"/>
        <w:jc w:val="both"/>
        <w:rPr>
          <w:color w:val="auto"/>
          <w:sz w:val="20"/>
          <w:szCs w:val="20"/>
        </w:rPr>
      </w:pPr>
      <w:r w:rsidRPr="009605AF">
        <w:rPr>
          <w:color w:val="auto"/>
          <w:sz w:val="20"/>
          <w:szCs w:val="20"/>
          <w:vertAlign w:val="superscript"/>
        </w:rPr>
        <w:t>3)</w:t>
      </w:r>
      <w:r w:rsidRPr="009605AF">
        <w:rPr>
          <w:color w:val="auto"/>
          <w:sz w:val="20"/>
          <w:szCs w:val="20"/>
        </w:rPr>
        <w:t xml:space="preserve"> zákon č. 245/2000 Sb., o státních svátcích, o ostatních svátcích, o významných dnech a o dnech pracovního klidu, ve znění pozdějších předpisů</w:t>
      </w:r>
    </w:p>
    <w:p w14:paraId="36CE3413" w14:textId="77777777" w:rsidR="00A05041" w:rsidRPr="009605AF" w:rsidRDefault="00A05041" w:rsidP="00A05041">
      <w:pPr>
        <w:pStyle w:val="Default"/>
        <w:jc w:val="both"/>
        <w:rPr>
          <w:color w:val="auto"/>
          <w:sz w:val="20"/>
          <w:szCs w:val="20"/>
          <w:vertAlign w:val="superscript"/>
        </w:rPr>
      </w:pPr>
      <w:r>
        <w:rPr>
          <w:color w:val="auto"/>
          <w:sz w:val="20"/>
          <w:szCs w:val="20"/>
          <w:vertAlign w:val="superscript"/>
        </w:rPr>
        <w:t>4</w:t>
      </w:r>
      <w:r w:rsidRPr="009605AF">
        <w:rPr>
          <w:color w:val="auto"/>
          <w:sz w:val="20"/>
          <w:szCs w:val="20"/>
          <w:vertAlign w:val="superscript"/>
        </w:rPr>
        <w:t>)</w:t>
      </w:r>
      <w:r w:rsidRPr="009605AF">
        <w:rPr>
          <w:color w:val="auto"/>
          <w:sz w:val="20"/>
          <w:szCs w:val="20"/>
        </w:rPr>
        <w:t xml:space="preserve"> zákon č. 455/1991 Sb., o živnostenském podnikání (živnostenský zákon), ve znění pozdějších předpisů</w:t>
      </w:r>
    </w:p>
    <w:p w14:paraId="1FB082E3" w14:textId="77777777" w:rsidR="00A05041" w:rsidRPr="009605AF" w:rsidRDefault="00A05041" w:rsidP="00A05041">
      <w:pPr>
        <w:pStyle w:val="Default"/>
        <w:jc w:val="both"/>
        <w:rPr>
          <w:color w:val="auto"/>
          <w:sz w:val="20"/>
          <w:szCs w:val="20"/>
          <w:vertAlign w:val="superscript"/>
        </w:rPr>
      </w:pPr>
      <w:r>
        <w:rPr>
          <w:color w:val="auto"/>
          <w:sz w:val="20"/>
          <w:szCs w:val="20"/>
          <w:vertAlign w:val="superscript"/>
        </w:rPr>
        <w:t>5</w:t>
      </w:r>
      <w:r w:rsidRPr="009605AF">
        <w:rPr>
          <w:color w:val="auto"/>
          <w:sz w:val="20"/>
          <w:szCs w:val="20"/>
          <w:vertAlign w:val="superscript"/>
        </w:rPr>
        <w:t>)</w:t>
      </w:r>
      <w:r w:rsidRPr="009605AF">
        <w:rPr>
          <w:color w:val="auto"/>
          <w:sz w:val="20"/>
          <w:szCs w:val="20"/>
        </w:rPr>
        <w:t xml:space="preserve"> zákon č. </w:t>
      </w:r>
      <w:r>
        <w:rPr>
          <w:color w:val="auto"/>
          <w:sz w:val="20"/>
          <w:szCs w:val="20"/>
        </w:rPr>
        <w:t>634/1992 Sb., o ochraně spotřebitele</w:t>
      </w:r>
      <w:r w:rsidRPr="009605AF">
        <w:rPr>
          <w:color w:val="auto"/>
          <w:sz w:val="20"/>
          <w:szCs w:val="20"/>
        </w:rPr>
        <w:t>, ve znění pozdějších předpisů</w:t>
      </w:r>
    </w:p>
    <w:p w14:paraId="519A0AF7" w14:textId="77777777" w:rsidR="00A05041" w:rsidRPr="009605AF" w:rsidRDefault="00A05041" w:rsidP="00A05041">
      <w:pPr>
        <w:pStyle w:val="Default"/>
        <w:jc w:val="both"/>
        <w:rPr>
          <w:color w:val="auto"/>
          <w:sz w:val="20"/>
          <w:szCs w:val="20"/>
          <w:vertAlign w:val="superscript"/>
        </w:rPr>
      </w:pPr>
      <w:r>
        <w:rPr>
          <w:color w:val="auto"/>
          <w:sz w:val="20"/>
          <w:szCs w:val="20"/>
          <w:vertAlign w:val="superscript"/>
        </w:rPr>
        <w:t>6</w:t>
      </w:r>
      <w:r w:rsidRPr="009605AF">
        <w:rPr>
          <w:color w:val="auto"/>
          <w:sz w:val="20"/>
          <w:szCs w:val="20"/>
          <w:vertAlign w:val="superscript"/>
        </w:rPr>
        <w:t>)</w:t>
      </w:r>
      <w:r w:rsidRPr="009605AF">
        <w:rPr>
          <w:color w:val="auto"/>
          <w:sz w:val="20"/>
          <w:szCs w:val="20"/>
        </w:rPr>
        <w:t xml:space="preserve"> </w:t>
      </w:r>
      <w:r>
        <w:rPr>
          <w:color w:val="auto"/>
          <w:sz w:val="20"/>
          <w:szCs w:val="20"/>
        </w:rPr>
        <w:t>n</w:t>
      </w:r>
      <w:r w:rsidRPr="009605AF">
        <w:rPr>
          <w:color w:val="auto"/>
          <w:sz w:val="20"/>
          <w:szCs w:val="20"/>
        </w:rPr>
        <w:t>apříklad zákon č. 110/1997 Sb., o potravinách a tabákových výrobcích a o změně a doplnění některých souvisejících zákonů, ve znění pozdějších předpisů, zákon č. 166/1999 Sb., o veterinární péči a o změně některých souvisejících zákonů (veterinární zákon), ve znění pozdějších předpisů, zákon č. 258/2000 Sb., o ochraně veřejného zdraví a o změně některých souvisejících zákonů, ve znění pozdějších předpisů, nařízení Evropského parlamentu a rady (ES) č. 852/2004 o hygieně potravin</w:t>
      </w:r>
    </w:p>
    <w:p w14:paraId="1DA39108" w14:textId="50237A48" w:rsidR="00A05041" w:rsidRPr="009605AF" w:rsidRDefault="00A05041" w:rsidP="00A05041">
      <w:pPr>
        <w:pStyle w:val="Default"/>
        <w:jc w:val="both"/>
        <w:rPr>
          <w:color w:val="auto"/>
          <w:sz w:val="20"/>
          <w:szCs w:val="20"/>
          <w:vertAlign w:val="superscript"/>
        </w:rPr>
      </w:pPr>
      <w:r>
        <w:rPr>
          <w:color w:val="auto"/>
          <w:sz w:val="20"/>
          <w:szCs w:val="20"/>
          <w:vertAlign w:val="superscript"/>
        </w:rPr>
        <w:t>7</w:t>
      </w:r>
      <w:r w:rsidRPr="009605AF">
        <w:rPr>
          <w:color w:val="auto"/>
          <w:sz w:val="20"/>
          <w:szCs w:val="20"/>
          <w:vertAlign w:val="superscript"/>
        </w:rPr>
        <w:t>)</w:t>
      </w:r>
      <w:r w:rsidRPr="009605AF">
        <w:rPr>
          <w:color w:val="auto"/>
          <w:sz w:val="20"/>
          <w:szCs w:val="20"/>
        </w:rPr>
        <w:t xml:space="preserve"> zákon č. </w:t>
      </w:r>
      <w:r>
        <w:rPr>
          <w:color w:val="auto"/>
          <w:sz w:val="20"/>
          <w:szCs w:val="20"/>
        </w:rPr>
        <w:t xml:space="preserve">251/2016 Sb., o některých přestupcích, ve znění pozdějších zákonů </w:t>
      </w:r>
    </w:p>
    <w:p w14:paraId="26FF9794" w14:textId="77777777" w:rsidR="00A05041" w:rsidRPr="00F246A4" w:rsidRDefault="00A05041" w:rsidP="00A05041">
      <w:pPr>
        <w:rPr>
          <w:sz w:val="22"/>
          <w:szCs w:val="18"/>
        </w:rPr>
      </w:pPr>
    </w:p>
    <w:p w14:paraId="3666E108" w14:textId="77777777" w:rsidR="00A05041" w:rsidRPr="00F246A4" w:rsidRDefault="00A05041" w:rsidP="00A05041">
      <w:pPr>
        <w:rPr>
          <w:sz w:val="22"/>
          <w:szCs w:val="18"/>
        </w:rPr>
      </w:pPr>
    </w:p>
    <w:p w14:paraId="23D3C8B3" w14:textId="77777777" w:rsidR="00A05041" w:rsidRPr="00F246A4" w:rsidRDefault="00A05041" w:rsidP="00A05041">
      <w:pPr>
        <w:rPr>
          <w:sz w:val="22"/>
          <w:szCs w:val="18"/>
        </w:rPr>
      </w:pPr>
    </w:p>
    <w:p w14:paraId="0EC737DF" w14:textId="77777777" w:rsidR="00A05041" w:rsidRPr="00F246A4" w:rsidRDefault="00A05041" w:rsidP="00A05041">
      <w:pPr>
        <w:rPr>
          <w:sz w:val="22"/>
          <w:szCs w:val="18"/>
        </w:rPr>
      </w:pPr>
    </w:p>
    <w:p w14:paraId="0BB72C5F" w14:textId="77777777" w:rsidR="00A05041" w:rsidRPr="00F246A4" w:rsidRDefault="00A05041" w:rsidP="00A05041">
      <w:pPr>
        <w:rPr>
          <w:sz w:val="22"/>
          <w:szCs w:val="18"/>
        </w:rPr>
      </w:pPr>
    </w:p>
    <w:p w14:paraId="0D2E017F" w14:textId="77777777" w:rsidR="00A05041" w:rsidRPr="00F246A4" w:rsidRDefault="00A05041" w:rsidP="00A05041">
      <w:pPr>
        <w:rPr>
          <w:sz w:val="22"/>
          <w:szCs w:val="18"/>
        </w:rPr>
      </w:pPr>
    </w:p>
    <w:sectPr w:rsidR="00A05041" w:rsidRPr="00F24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3DA"/>
    <w:multiLevelType w:val="hybridMultilevel"/>
    <w:tmpl w:val="592EBC8E"/>
    <w:lvl w:ilvl="0" w:tplc="20BC41E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B7E0162"/>
    <w:multiLevelType w:val="hybridMultilevel"/>
    <w:tmpl w:val="9D1A9A64"/>
    <w:lvl w:ilvl="0" w:tplc="64684708">
      <w:start w:val="2"/>
      <w:numFmt w:val="decimal"/>
      <w:lvlText w:val="(%1)"/>
      <w:lvlJc w:val="left"/>
      <w:pPr>
        <w:tabs>
          <w:tab w:val="num" w:pos="1080"/>
        </w:tabs>
        <w:ind w:left="1080" w:hanging="360"/>
      </w:pPr>
      <w:rPr>
        <w:rFonts w:hint="default"/>
        <w:color w:val="auto"/>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26E00867"/>
    <w:multiLevelType w:val="hybridMultilevel"/>
    <w:tmpl w:val="753C2300"/>
    <w:lvl w:ilvl="0" w:tplc="947E12DA">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B533A3C"/>
    <w:multiLevelType w:val="hybridMultilevel"/>
    <w:tmpl w:val="3A427BC2"/>
    <w:lvl w:ilvl="0" w:tplc="3C20EACC">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68416E9"/>
    <w:multiLevelType w:val="hybridMultilevel"/>
    <w:tmpl w:val="61905B10"/>
    <w:lvl w:ilvl="0" w:tplc="682A9FE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4B4789E"/>
    <w:multiLevelType w:val="hybridMultilevel"/>
    <w:tmpl w:val="551C8EC0"/>
    <w:lvl w:ilvl="0" w:tplc="C264F8B8">
      <w:start w:val="1"/>
      <w:numFmt w:val="decimal"/>
      <w:lvlText w:val="(%1)"/>
      <w:lvlJc w:val="left"/>
      <w:pPr>
        <w:tabs>
          <w:tab w:val="num" w:pos="1080"/>
        </w:tabs>
        <w:ind w:left="1080" w:hanging="360"/>
      </w:pPr>
      <w:rPr>
        <w:rFonts w:hint="default"/>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CE95819"/>
    <w:multiLevelType w:val="hybridMultilevel"/>
    <w:tmpl w:val="E89A089C"/>
    <w:lvl w:ilvl="0" w:tplc="2410DEC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659D0785"/>
    <w:multiLevelType w:val="hybridMultilevel"/>
    <w:tmpl w:val="7B42FA00"/>
    <w:lvl w:ilvl="0" w:tplc="CB88D8A4">
      <w:start w:val="1"/>
      <w:numFmt w:val="decimal"/>
      <w:lvlText w:val="(%1)"/>
      <w:lvlJc w:val="left"/>
      <w:pPr>
        <w:tabs>
          <w:tab w:val="num" w:pos="720"/>
        </w:tabs>
        <w:ind w:left="720" w:hanging="360"/>
      </w:pPr>
      <w:rPr>
        <w:rFonts w:ascii="Times New Roman" w:eastAsia="Times New Roman" w:hAnsi="Times New Roman" w:cs="Times New Roman"/>
      </w:rPr>
    </w:lvl>
    <w:lvl w:ilvl="1" w:tplc="8584AB34">
      <w:start w:val="2"/>
      <w:numFmt w:val="decimal"/>
      <w:lvlText w:val="(%2)"/>
      <w:lvlJc w:val="left"/>
      <w:pPr>
        <w:tabs>
          <w:tab w:val="num" w:pos="1440"/>
        </w:tabs>
        <w:ind w:left="1440" w:hanging="360"/>
      </w:pPr>
      <w:rPr>
        <w:rFonts w:hint="default"/>
        <w:color w:val="FF000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FDB70C6"/>
    <w:multiLevelType w:val="hybridMultilevel"/>
    <w:tmpl w:val="5712B352"/>
    <w:lvl w:ilvl="0" w:tplc="AEB6FE5A">
      <w:start w:val="1"/>
      <w:numFmt w:val="lowerLetter"/>
      <w:lvlText w:val="%1)"/>
      <w:lvlJc w:val="left"/>
      <w:pPr>
        <w:tabs>
          <w:tab w:val="num" w:pos="2025"/>
        </w:tabs>
        <w:ind w:left="2025" w:hanging="94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F07572"/>
    <w:multiLevelType w:val="hybridMultilevel"/>
    <w:tmpl w:val="9C329AA2"/>
    <w:lvl w:ilvl="0" w:tplc="C7CED40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1464EB5"/>
    <w:multiLevelType w:val="hybridMultilevel"/>
    <w:tmpl w:val="8C540CF2"/>
    <w:lvl w:ilvl="0" w:tplc="AEB6FE5A">
      <w:start w:val="1"/>
      <w:numFmt w:val="lowerLetter"/>
      <w:lvlText w:val="%1)"/>
      <w:lvlJc w:val="left"/>
      <w:pPr>
        <w:tabs>
          <w:tab w:val="num" w:pos="2025"/>
        </w:tabs>
        <w:ind w:left="2025" w:hanging="94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C551F7A"/>
    <w:multiLevelType w:val="hybridMultilevel"/>
    <w:tmpl w:val="60808994"/>
    <w:lvl w:ilvl="0" w:tplc="6AEEC75E">
      <w:start w:val="1"/>
      <w:numFmt w:val="decimal"/>
      <w:lvlText w:val="(%1)"/>
      <w:lvlJc w:val="left"/>
      <w:pPr>
        <w:tabs>
          <w:tab w:val="num" w:pos="540"/>
        </w:tabs>
        <w:ind w:left="54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0"/>
  </w:num>
  <w:num w:numId="4">
    <w:abstractNumId w:val="8"/>
  </w:num>
  <w:num w:numId="5">
    <w:abstractNumId w:val="11"/>
  </w:num>
  <w:num w:numId="6">
    <w:abstractNumId w:val="7"/>
  </w:num>
  <w:num w:numId="7">
    <w:abstractNumId w:val="1"/>
  </w:num>
  <w:num w:numId="8">
    <w:abstractNumId w:val="5"/>
  </w:num>
  <w:num w:numId="9">
    <w:abstractNumId w:val="0"/>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41"/>
    <w:rsid w:val="00201D67"/>
    <w:rsid w:val="0021192A"/>
    <w:rsid w:val="00467028"/>
    <w:rsid w:val="00647CAF"/>
    <w:rsid w:val="00A05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B7D6"/>
  <w15:chartTrackingRefBased/>
  <w15:docId w15:val="{0145A853-646A-469E-AD09-15CE738D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041"/>
    <w:pPr>
      <w:suppressAutoHyphens/>
      <w:spacing w:after="0" w:line="252" w:lineRule="auto"/>
      <w:jc w:val="both"/>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0504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
    <w:name w:val="odst."/>
    <w:basedOn w:val="Default"/>
    <w:rsid w:val="00A05041"/>
    <w:pPr>
      <w:tabs>
        <w:tab w:val="left" w:pos="540"/>
      </w:tabs>
      <w:spacing w:before="40"/>
      <w:ind w:left="539" w:hanging="539"/>
      <w:jc w:val="both"/>
    </w:pPr>
  </w:style>
  <w:style w:type="paragraph" w:styleId="Odstavecseseznamem">
    <w:name w:val="List Paragraph"/>
    <w:basedOn w:val="Normln"/>
    <w:uiPriority w:val="34"/>
    <w:qFormat/>
    <w:rsid w:val="00A05041"/>
    <w:pPr>
      <w:suppressAutoHyphens w:val="0"/>
      <w:spacing w:line="240" w:lineRule="auto"/>
      <w:ind w:left="720"/>
      <w:contextualSpacing/>
      <w:jc w:val="left"/>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2449</Words>
  <Characters>14451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Hrubá</dc:creator>
  <cp:keywords/>
  <dc:description/>
  <cp:lastModifiedBy>Jana Hrubá</cp:lastModifiedBy>
  <cp:revision>2</cp:revision>
  <cp:lastPrinted>2022-06-16T11:48:00Z</cp:lastPrinted>
  <dcterms:created xsi:type="dcterms:W3CDTF">2022-06-16T11:41:00Z</dcterms:created>
  <dcterms:modified xsi:type="dcterms:W3CDTF">2022-06-16T12:16:00Z</dcterms:modified>
</cp:coreProperties>
</file>