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5D2" w:rsidRDefault="001F2302">
      <w:pPr>
        <w:rPr>
          <w:sz w:val="36"/>
          <w:szCs w:val="36"/>
          <w:u w:val="single"/>
        </w:rPr>
      </w:pPr>
      <w:hyperlink r:id="rId8" w:history="1">
        <w:r w:rsidR="0087444B" w:rsidRPr="0087444B">
          <w:rPr>
            <w:rStyle w:val="Hypertextovodkaz"/>
            <w:noProof/>
            <w:color w:val="auto"/>
            <w:sz w:val="36"/>
            <w:szCs w:val="36"/>
            <w:lang w:eastAsia="cs-CZ"/>
          </w:rPr>
          <w:drawing>
            <wp:inline distT="0" distB="0" distL="0" distR="0">
              <wp:extent cx="581025" cy="657225"/>
              <wp:effectExtent l="0" t="0" r="9525" b="9525"/>
              <wp:docPr id="1" name="Obrázek 1" descr="Město Třebnoušev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ěsto Třebnouševe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r w:rsidR="0087444B" w:rsidRPr="0087444B">
          <w:rPr>
            <w:rStyle w:val="Hypertextovodkaz"/>
            <w:color w:val="auto"/>
            <w:sz w:val="36"/>
            <w:szCs w:val="36"/>
          </w:rPr>
          <w:t>OBEC TŘEBNOUŠEVES</w:t>
        </w:r>
      </w:hyperlink>
      <w:r w:rsidR="006069ED">
        <w:rPr>
          <w:rStyle w:val="Hypertextovodkaz"/>
          <w:color w:val="auto"/>
          <w:sz w:val="36"/>
          <w:szCs w:val="36"/>
        </w:rPr>
        <w:t>, Třebnouševes</w:t>
      </w:r>
      <w:r w:rsidR="0087444B" w:rsidRPr="0087444B">
        <w:rPr>
          <w:sz w:val="36"/>
          <w:szCs w:val="36"/>
          <w:u w:val="single"/>
        </w:rPr>
        <w:t xml:space="preserve"> 80, 508 01 Hořice</w:t>
      </w:r>
    </w:p>
    <w:p w:rsidR="00CE6E15" w:rsidRPr="00CE6E15" w:rsidRDefault="00CE6E15" w:rsidP="00CE6E15">
      <w:pPr>
        <w:keepNext/>
        <w:suppressAutoHyphens/>
        <w:autoSpaceDN w:val="0"/>
        <w:spacing w:before="238" w:after="238" w:line="240" w:lineRule="auto"/>
        <w:jc w:val="center"/>
        <w:textAlignment w:val="baseline"/>
        <w:outlineLvl w:val="0"/>
        <w:rPr>
          <w:rFonts w:ascii="Arial" w:eastAsia="PingFang SC" w:hAnsi="Arial" w:cs="Arial Unicode MS"/>
          <w:b/>
          <w:bCs/>
          <w:kern w:val="3"/>
          <w:sz w:val="28"/>
          <w:szCs w:val="28"/>
          <w:lang w:eastAsia="zh-CN" w:bidi="hi-IN"/>
        </w:rPr>
      </w:pPr>
      <w:bookmarkStart w:id="0" w:name="_GoBack"/>
      <w:r w:rsidRPr="00CE6E15">
        <w:rPr>
          <w:rFonts w:ascii="Arial" w:eastAsia="PingFang SC" w:hAnsi="Arial" w:cs="Arial Unicode MS"/>
          <w:b/>
          <w:bCs/>
          <w:kern w:val="3"/>
          <w:sz w:val="28"/>
          <w:szCs w:val="28"/>
          <w:lang w:eastAsia="zh-CN" w:bidi="hi-IN"/>
        </w:rPr>
        <w:t>Obecně závazná vyhláška obce Třebnouševes</w:t>
      </w:r>
      <w:r w:rsidRPr="00CE6E15">
        <w:rPr>
          <w:rFonts w:ascii="Arial" w:eastAsia="PingFang SC" w:hAnsi="Arial" w:cs="Arial Unicode MS"/>
          <w:b/>
          <w:bCs/>
          <w:kern w:val="3"/>
          <w:sz w:val="28"/>
          <w:szCs w:val="28"/>
          <w:lang w:eastAsia="zh-CN" w:bidi="hi-IN"/>
        </w:rPr>
        <w:br/>
        <w:t>o místním poplatku ze psů</w:t>
      </w:r>
    </w:p>
    <w:p w:rsidR="00CE6E15" w:rsidRPr="00CE6E15" w:rsidRDefault="00CE6E15" w:rsidP="00CE6E15">
      <w:pPr>
        <w:suppressAutoHyphens/>
        <w:autoSpaceDN w:val="0"/>
        <w:spacing w:after="140" w:line="276" w:lineRule="auto"/>
        <w:jc w:val="center"/>
        <w:textAlignment w:val="baseline"/>
        <w:rPr>
          <w:rFonts w:ascii="Arial" w:eastAsia="Arial" w:hAnsi="Arial" w:cs="Arial"/>
          <w:b/>
          <w:kern w:val="3"/>
          <w:sz w:val="28"/>
          <w:szCs w:val="28"/>
          <w:lang w:eastAsia="zh-CN" w:bidi="hi-IN"/>
        </w:rPr>
      </w:pPr>
      <w:r w:rsidRPr="00CE6E15">
        <w:rPr>
          <w:rFonts w:ascii="Arial" w:eastAsia="Arial" w:hAnsi="Arial" w:cs="Arial"/>
          <w:b/>
          <w:kern w:val="3"/>
          <w:sz w:val="28"/>
          <w:szCs w:val="28"/>
          <w:lang w:eastAsia="zh-CN" w:bidi="hi-IN"/>
        </w:rPr>
        <w:t>1/2025</w:t>
      </w:r>
    </w:p>
    <w:bookmarkEnd w:id="0"/>
    <w:p w:rsidR="00CE6E15" w:rsidRPr="00CE6E15" w:rsidRDefault="00CE6E15" w:rsidP="00CE6E15">
      <w:pPr>
        <w:suppressAutoHyphens/>
        <w:autoSpaceDN w:val="0"/>
        <w:spacing w:before="62"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Zastupitelstvo obce Třebnouševes se na svém zasedání dne 12. prosince 2024 pod č. Usnesení č. 6/2024/06 se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CE6E15" w:rsidRPr="00CE6E15" w:rsidRDefault="00CE6E15" w:rsidP="00CE6E15">
      <w:pPr>
        <w:keepNext/>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CE6E15">
        <w:rPr>
          <w:rFonts w:ascii="Arial" w:eastAsia="PingFang SC" w:hAnsi="Arial" w:cs="Arial Unicode MS"/>
          <w:b/>
          <w:bCs/>
          <w:kern w:val="3"/>
          <w:sz w:val="24"/>
          <w:szCs w:val="24"/>
          <w:lang w:eastAsia="zh-CN" w:bidi="hi-IN"/>
        </w:rPr>
        <w:t>Čl. 1</w:t>
      </w:r>
      <w:r w:rsidRPr="00CE6E15">
        <w:rPr>
          <w:rFonts w:ascii="Arial" w:eastAsia="PingFang SC" w:hAnsi="Arial" w:cs="Arial Unicode MS"/>
          <w:b/>
          <w:bCs/>
          <w:kern w:val="3"/>
          <w:sz w:val="24"/>
          <w:szCs w:val="24"/>
          <w:lang w:eastAsia="zh-CN" w:bidi="hi-IN"/>
        </w:rPr>
        <w:br/>
        <w:t>Úvodní ustanovení</w:t>
      </w:r>
    </w:p>
    <w:p w:rsidR="00CE6E15" w:rsidRPr="00CE6E15" w:rsidRDefault="00CE6E15" w:rsidP="00CE6E15">
      <w:pPr>
        <w:numPr>
          <w:ilvl w:val="0"/>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Obec Třebnouševes touto vyhláškou zavádí místní poplatek ze psů (dále jen „poplatek“).</w:t>
      </w:r>
    </w:p>
    <w:p w:rsidR="00CE6E15" w:rsidRPr="00CE6E15" w:rsidRDefault="00CE6E15" w:rsidP="00CE6E15">
      <w:pPr>
        <w:numPr>
          <w:ilvl w:val="0"/>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Poplatkovým obdobím poplatku je kalendářní rok</w:t>
      </w:r>
      <w:r w:rsidRPr="00CE6E15">
        <w:rPr>
          <w:rFonts w:ascii="Arial" w:eastAsia="Arial" w:hAnsi="Arial" w:cs="Arial"/>
          <w:kern w:val="3"/>
          <w:vertAlign w:val="superscript"/>
          <w:lang w:eastAsia="zh-CN" w:bidi="hi-IN"/>
        </w:rPr>
        <w:footnoteReference w:id="1"/>
      </w:r>
      <w:r w:rsidRPr="00CE6E15">
        <w:rPr>
          <w:rFonts w:ascii="Arial" w:eastAsia="Arial" w:hAnsi="Arial" w:cs="Arial"/>
          <w:kern w:val="3"/>
          <w:lang w:eastAsia="zh-CN" w:bidi="hi-IN"/>
        </w:rPr>
        <w:t>.</w:t>
      </w:r>
    </w:p>
    <w:p w:rsidR="00CE6E15" w:rsidRPr="00CE6E15" w:rsidRDefault="00CE6E15" w:rsidP="00CE6E15">
      <w:pPr>
        <w:numPr>
          <w:ilvl w:val="0"/>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Správcem poplatku je obecní úřad</w:t>
      </w:r>
      <w:r w:rsidRPr="00CE6E15">
        <w:rPr>
          <w:rFonts w:ascii="Arial" w:eastAsia="Arial" w:hAnsi="Arial" w:cs="Arial"/>
          <w:kern w:val="3"/>
          <w:vertAlign w:val="superscript"/>
          <w:lang w:eastAsia="zh-CN" w:bidi="hi-IN"/>
        </w:rPr>
        <w:footnoteReference w:id="2"/>
      </w:r>
      <w:r w:rsidRPr="00CE6E15">
        <w:rPr>
          <w:rFonts w:ascii="Arial" w:eastAsia="Arial" w:hAnsi="Arial" w:cs="Arial"/>
          <w:kern w:val="3"/>
          <w:lang w:eastAsia="zh-CN" w:bidi="hi-IN"/>
        </w:rPr>
        <w:t>.</w:t>
      </w:r>
    </w:p>
    <w:p w:rsidR="00CE6E15" w:rsidRPr="00CE6E15" w:rsidRDefault="00CE6E15" w:rsidP="00CE6E15">
      <w:pPr>
        <w:keepNext/>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CE6E15">
        <w:rPr>
          <w:rFonts w:ascii="Arial" w:eastAsia="PingFang SC" w:hAnsi="Arial" w:cs="Arial Unicode MS"/>
          <w:b/>
          <w:bCs/>
          <w:kern w:val="3"/>
          <w:sz w:val="24"/>
          <w:szCs w:val="24"/>
          <w:lang w:eastAsia="zh-CN" w:bidi="hi-IN"/>
        </w:rPr>
        <w:t>Čl. 2</w:t>
      </w:r>
      <w:r w:rsidRPr="00CE6E15">
        <w:rPr>
          <w:rFonts w:ascii="Arial" w:eastAsia="PingFang SC" w:hAnsi="Arial" w:cs="Arial Unicode MS"/>
          <w:b/>
          <w:bCs/>
          <w:kern w:val="3"/>
          <w:sz w:val="24"/>
          <w:szCs w:val="24"/>
          <w:lang w:eastAsia="zh-CN" w:bidi="hi-IN"/>
        </w:rPr>
        <w:br/>
        <w:t>Předmět poplatku a poplatník</w:t>
      </w:r>
    </w:p>
    <w:p w:rsidR="00CE6E15" w:rsidRPr="00CE6E15" w:rsidRDefault="00CE6E15" w:rsidP="00CE6E15">
      <w:pPr>
        <w:numPr>
          <w:ilvl w:val="0"/>
          <w:numId w:val="2"/>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CE6E15">
        <w:rPr>
          <w:rFonts w:ascii="Arial" w:eastAsia="Arial" w:hAnsi="Arial" w:cs="Arial"/>
          <w:kern w:val="3"/>
          <w:vertAlign w:val="superscript"/>
          <w:lang w:eastAsia="zh-CN" w:bidi="hi-IN"/>
        </w:rPr>
        <w:footnoteReference w:id="3"/>
      </w:r>
      <w:r w:rsidRPr="00CE6E15">
        <w:rPr>
          <w:rFonts w:ascii="Arial" w:eastAsia="Arial" w:hAnsi="Arial" w:cs="Arial"/>
          <w:kern w:val="3"/>
          <w:lang w:eastAsia="zh-CN" w:bidi="hi-IN"/>
        </w:rPr>
        <w:t>.</w:t>
      </w:r>
    </w:p>
    <w:p w:rsidR="00CE6E15" w:rsidRPr="00CE6E15" w:rsidRDefault="00CE6E15" w:rsidP="00CE6E15">
      <w:pPr>
        <w:numPr>
          <w:ilvl w:val="0"/>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Poplatek ze psů se platí ze psů starších 3 měsíců</w:t>
      </w:r>
      <w:r w:rsidRPr="00CE6E15">
        <w:rPr>
          <w:rFonts w:ascii="Arial" w:eastAsia="Arial" w:hAnsi="Arial" w:cs="Arial"/>
          <w:kern w:val="3"/>
          <w:vertAlign w:val="superscript"/>
          <w:lang w:eastAsia="zh-CN" w:bidi="hi-IN"/>
        </w:rPr>
        <w:footnoteReference w:id="4"/>
      </w:r>
      <w:r w:rsidRPr="00CE6E15">
        <w:rPr>
          <w:rFonts w:ascii="Arial" w:eastAsia="Arial" w:hAnsi="Arial" w:cs="Arial"/>
          <w:kern w:val="3"/>
          <w:lang w:eastAsia="zh-CN" w:bidi="hi-IN"/>
        </w:rPr>
        <w:t>.</w:t>
      </w:r>
    </w:p>
    <w:p w:rsidR="00CE6E15" w:rsidRPr="00CE6E15" w:rsidRDefault="00CE6E15" w:rsidP="00CE6E15">
      <w:pPr>
        <w:keepNext/>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CE6E15">
        <w:rPr>
          <w:rFonts w:ascii="Arial" w:eastAsia="PingFang SC" w:hAnsi="Arial" w:cs="Arial Unicode MS"/>
          <w:b/>
          <w:bCs/>
          <w:kern w:val="3"/>
          <w:sz w:val="24"/>
          <w:szCs w:val="24"/>
          <w:lang w:eastAsia="zh-CN" w:bidi="hi-IN"/>
        </w:rPr>
        <w:t>Čl. 3</w:t>
      </w:r>
      <w:r w:rsidRPr="00CE6E15">
        <w:rPr>
          <w:rFonts w:ascii="Arial" w:eastAsia="PingFang SC" w:hAnsi="Arial" w:cs="Arial Unicode MS"/>
          <w:b/>
          <w:bCs/>
          <w:kern w:val="3"/>
          <w:sz w:val="24"/>
          <w:szCs w:val="24"/>
          <w:lang w:eastAsia="zh-CN" w:bidi="hi-IN"/>
        </w:rPr>
        <w:br/>
        <w:t>Ohlašovací povinnost</w:t>
      </w:r>
    </w:p>
    <w:p w:rsidR="00CE6E15" w:rsidRPr="00CE6E15" w:rsidRDefault="00CE6E15" w:rsidP="00CE6E15">
      <w:pPr>
        <w:numPr>
          <w:ilvl w:val="0"/>
          <w:numId w:val="3"/>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Poplatník je povinen podat správci poplatku ohlášení nejpozději do 30 dnů ode dne, kdy se pes stal starším 3 měsíců, nebo ode dne, kdy nabyl psa staršího 3 měsíců; údaje uváděné v ohlášení upravuje zákon</w:t>
      </w:r>
      <w:r w:rsidRPr="00CE6E15">
        <w:rPr>
          <w:rFonts w:ascii="Arial" w:eastAsia="Arial" w:hAnsi="Arial" w:cs="Arial"/>
          <w:kern w:val="3"/>
          <w:vertAlign w:val="superscript"/>
          <w:lang w:eastAsia="zh-CN" w:bidi="hi-IN"/>
        </w:rPr>
        <w:footnoteReference w:id="5"/>
      </w:r>
      <w:r w:rsidRPr="00CE6E15">
        <w:rPr>
          <w:rFonts w:ascii="Arial" w:eastAsia="Arial" w:hAnsi="Arial" w:cs="Arial"/>
          <w:kern w:val="3"/>
          <w:lang w:eastAsia="zh-CN" w:bidi="hi-IN"/>
        </w:rPr>
        <w:t>.</w:t>
      </w:r>
    </w:p>
    <w:p w:rsidR="00CE6E15" w:rsidRPr="00CE6E15" w:rsidRDefault="00CE6E15" w:rsidP="00CE6E15">
      <w:pPr>
        <w:numPr>
          <w:ilvl w:val="0"/>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Dojde-li ke změně údajů uvedených v ohlášení, je poplatník povinen tuto změnu oznámit do 30 dnů ode dne, kdy nastala</w:t>
      </w:r>
      <w:r w:rsidRPr="00CE6E15">
        <w:rPr>
          <w:rFonts w:ascii="Arial" w:eastAsia="Arial" w:hAnsi="Arial" w:cs="Arial"/>
          <w:kern w:val="3"/>
          <w:vertAlign w:val="superscript"/>
          <w:lang w:eastAsia="zh-CN" w:bidi="hi-IN"/>
        </w:rPr>
        <w:footnoteReference w:id="6"/>
      </w:r>
      <w:r w:rsidRPr="00CE6E15">
        <w:rPr>
          <w:rFonts w:ascii="Arial" w:eastAsia="Arial" w:hAnsi="Arial" w:cs="Arial"/>
          <w:kern w:val="3"/>
          <w:lang w:eastAsia="zh-CN" w:bidi="hi-IN"/>
        </w:rPr>
        <w:t>.</w:t>
      </w:r>
    </w:p>
    <w:p w:rsidR="00CE6E15" w:rsidRPr="00CE6E15" w:rsidRDefault="00CE6E15" w:rsidP="00CE6E15">
      <w:pPr>
        <w:keepNext/>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CE6E15">
        <w:rPr>
          <w:rFonts w:ascii="Arial" w:eastAsia="PingFang SC" w:hAnsi="Arial" w:cs="Arial Unicode MS"/>
          <w:b/>
          <w:bCs/>
          <w:kern w:val="3"/>
          <w:sz w:val="24"/>
          <w:szCs w:val="24"/>
          <w:lang w:eastAsia="zh-CN" w:bidi="hi-IN"/>
        </w:rPr>
        <w:lastRenderedPageBreak/>
        <w:t>Čl. 4</w:t>
      </w:r>
      <w:r w:rsidRPr="00CE6E15">
        <w:rPr>
          <w:rFonts w:ascii="Arial" w:eastAsia="PingFang SC" w:hAnsi="Arial" w:cs="Arial Unicode MS"/>
          <w:b/>
          <w:bCs/>
          <w:kern w:val="3"/>
          <w:sz w:val="24"/>
          <w:szCs w:val="24"/>
          <w:lang w:eastAsia="zh-CN" w:bidi="hi-IN"/>
        </w:rPr>
        <w:br/>
        <w:t>Sazba poplatku</w:t>
      </w:r>
    </w:p>
    <w:p w:rsidR="00CE6E15" w:rsidRPr="00CE6E15" w:rsidRDefault="00CE6E15" w:rsidP="00CE6E15">
      <w:pPr>
        <w:numPr>
          <w:ilvl w:val="0"/>
          <w:numId w:val="4"/>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Sazba poplatku za kalendářní rok činí:</w:t>
      </w:r>
    </w:p>
    <w:p w:rsidR="00CE6E15" w:rsidRPr="00CE6E15" w:rsidRDefault="00CE6E15" w:rsidP="00CE6E15">
      <w:pPr>
        <w:numPr>
          <w:ilvl w:val="1"/>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za jednoho psa 50 Kč,</w:t>
      </w:r>
    </w:p>
    <w:p w:rsidR="00CE6E15" w:rsidRPr="00CE6E15" w:rsidRDefault="00CE6E15" w:rsidP="00CE6E15">
      <w:pPr>
        <w:numPr>
          <w:ilvl w:val="1"/>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za druhého psa téhož držitele 100 Kč,</w:t>
      </w:r>
    </w:p>
    <w:p w:rsidR="00CE6E15" w:rsidRPr="00CE6E15" w:rsidRDefault="00CE6E15" w:rsidP="00CE6E15">
      <w:pPr>
        <w:numPr>
          <w:ilvl w:val="1"/>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za třetího psa téhož držitele 600 Kč,</w:t>
      </w:r>
    </w:p>
    <w:p w:rsidR="00CE6E15" w:rsidRPr="00CE6E15" w:rsidRDefault="00CE6E15" w:rsidP="00CE6E15">
      <w:pPr>
        <w:numPr>
          <w:ilvl w:val="1"/>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za čtvrtého a každého dalšího psa téhož držitele 1000 Kč,</w:t>
      </w:r>
    </w:p>
    <w:p w:rsidR="00CE6E15" w:rsidRPr="00CE6E15" w:rsidRDefault="00CE6E15" w:rsidP="00CE6E15">
      <w:pPr>
        <w:numPr>
          <w:ilvl w:val="1"/>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za psa, jehož držitelem je osoba starší 65 let, 50 Kč,</w:t>
      </w:r>
    </w:p>
    <w:p w:rsidR="00CE6E15" w:rsidRPr="00CE6E15" w:rsidRDefault="00CE6E15" w:rsidP="00CE6E15">
      <w:pPr>
        <w:numPr>
          <w:ilvl w:val="1"/>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za druhého a každého dalšího psa téhož držitele, kterým je osoba starší 65 let, 100 Kč.</w:t>
      </w:r>
    </w:p>
    <w:p w:rsidR="00CE6E15" w:rsidRPr="00CE6E15" w:rsidRDefault="00CE6E15" w:rsidP="00CE6E15">
      <w:pPr>
        <w:numPr>
          <w:ilvl w:val="0"/>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V případě trvání poplatkové povinnosti po dobu kratší než jeden rok se platí poplatek v poměrné výši, která odpovídá počtu i započatých kalendářních měsíců</w:t>
      </w:r>
      <w:r w:rsidRPr="00CE6E15">
        <w:rPr>
          <w:rFonts w:ascii="Arial" w:eastAsia="Arial" w:hAnsi="Arial" w:cs="Arial"/>
          <w:kern w:val="3"/>
          <w:vertAlign w:val="superscript"/>
          <w:lang w:eastAsia="zh-CN" w:bidi="hi-IN"/>
        </w:rPr>
        <w:footnoteReference w:id="7"/>
      </w:r>
      <w:r w:rsidRPr="00CE6E15">
        <w:rPr>
          <w:rFonts w:ascii="Arial" w:eastAsia="Arial" w:hAnsi="Arial" w:cs="Arial"/>
          <w:kern w:val="3"/>
          <w:lang w:eastAsia="zh-CN" w:bidi="hi-IN"/>
        </w:rPr>
        <w:t>.</w:t>
      </w:r>
    </w:p>
    <w:p w:rsidR="00CE6E15" w:rsidRPr="00CE6E15" w:rsidRDefault="00CE6E15" w:rsidP="00CE6E15">
      <w:pPr>
        <w:keepNext/>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CE6E15">
        <w:rPr>
          <w:rFonts w:ascii="Arial" w:eastAsia="PingFang SC" w:hAnsi="Arial" w:cs="Arial Unicode MS"/>
          <w:b/>
          <w:bCs/>
          <w:kern w:val="3"/>
          <w:sz w:val="24"/>
          <w:szCs w:val="24"/>
          <w:lang w:eastAsia="zh-CN" w:bidi="hi-IN"/>
        </w:rPr>
        <w:t>Čl. 5</w:t>
      </w:r>
      <w:r w:rsidRPr="00CE6E15">
        <w:rPr>
          <w:rFonts w:ascii="Arial" w:eastAsia="PingFang SC" w:hAnsi="Arial" w:cs="Arial Unicode MS"/>
          <w:b/>
          <w:bCs/>
          <w:kern w:val="3"/>
          <w:sz w:val="24"/>
          <w:szCs w:val="24"/>
          <w:lang w:eastAsia="zh-CN" w:bidi="hi-IN"/>
        </w:rPr>
        <w:br/>
        <w:t>Splatnost poplatku</w:t>
      </w:r>
    </w:p>
    <w:p w:rsidR="00CE6E15" w:rsidRPr="00CE6E15" w:rsidRDefault="00CE6E15" w:rsidP="00CE6E15">
      <w:pPr>
        <w:numPr>
          <w:ilvl w:val="0"/>
          <w:numId w:val="5"/>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Poplatek je splatný nejpozději do 30. dubna příslušného kalendářního roku.</w:t>
      </w:r>
    </w:p>
    <w:p w:rsidR="00CE6E15" w:rsidRPr="00CE6E15" w:rsidRDefault="00CE6E15" w:rsidP="00CE6E15">
      <w:pPr>
        <w:numPr>
          <w:ilvl w:val="0"/>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Vznikne-li poplatková povinnost po datu splatnosti uvedeném v odstavci 1, je poplatek splatný nejpozději do patnáctého dne měsíce, který následuje po měsíci, ve kterém poplatková povinnost vznikla.</w:t>
      </w:r>
    </w:p>
    <w:p w:rsidR="00CE6E15" w:rsidRPr="00CE6E15" w:rsidRDefault="00CE6E15" w:rsidP="00CE6E15">
      <w:pPr>
        <w:numPr>
          <w:ilvl w:val="0"/>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Lhůta splatnosti neskončí poplatníkovi dříve než lhůta pro podání ohlášení podle čl. 3 odst. 1 této vyhlášky.</w:t>
      </w:r>
    </w:p>
    <w:p w:rsidR="00CE6E15" w:rsidRPr="00CE6E15" w:rsidRDefault="00CE6E15" w:rsidP="00CE6E15">
      <w:pPr>
        <w:keepNext/>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CE6E15">
        <w:rPr>
          <w:rFonts w:ascii="Arial" w:eastAsia="PingFang SC" w:hAnsi="Arial" w:cs="Arial Unicode MS"/>
          <w:b/>
          <w:bCs/>
          <w:kern w:val="3"/>
          <w:sz w:val="24"/>
          <w:szCs w:val="24"/>
          <w:lang w:eastAsia="zh-CN" w:bidi="hi-IN"/>
        </w:rPr>
        <w:t>Čl. 6</w:t>
      </w:r>
      <w:r w:rsidRPr="00CE6E15">
        <w:rPr>
          <w:rFonts w:ascii="Arial" w:eastAsia="PingFang SC" w:hAnsi="Arial" w:cs="Arial Unicode MS"/>
          <w:b/>
          <w:bCs/>
          <w:kern w:val="3"/>
          <w:sz w:val="24"/>
          <w:szCs w:val="24"/>
          <w:lang w:eastAsia="zh-CN" w:bidi="hi-IN"/>
        </w:rPr>
        <w:br/>
        <w:t xml:space="preserve"> Osvobození</w:t>
      </w:r>
    </w:p>
    <w:p w:rsidR="00CE6E15" w:rsidRPr="00CE6E15" w:rsidRDefault="00CE6E15" w:rsidP="00CE6E15">
      <w:pPr>
        <w:numPr>
          <w:ilvl w:val="0"/>
          <w:numId w:val="6"/>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E6E15">
        <w:rPr>
          <w:rFonts w:ascii="Arial" w:eastAsia="Arial" w:hAnsi="Arial" w:cs="Arial"/>
          <w:kern w:val="3"/>
          <w:vertAlign w:val="superscript"/>
          <w:lang w:eastAsia="zh-CN" w:bidi="hi-IN"/>
        </w:rPr>
        <w:footnoteReference w:id="8"/>
      </w:r>
      <w:r w:rsidRPr="00CE6E15">
        <w:rPr>
          <w:rFonts w:ascii="Arial" w:eastAsia="Arial" w:hAnsi="Arial" w:cs="Arial"/>
          <w:kern w:val="3"/>
          <w:lang w:eastAsia="zh-CN" w:bidi="hi-IN"/>
        </w:rPr>
        <w:t>.</w:t>
      </w:r>
    </w:p>
    <w:p w:rsidR="00CE6E15" w:rsidRPr="00CE6E15" w:rsidRDefault="00CE6E15" w:rsidP="00CE6E15">
      <w:pPr>
        <w:numPr>
          <w:ilvl w:val="0"/>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V případě, že poplatník nesplní povinnost ohlásit údaj rozhodný pro osvobození ve lhůtách stanovených touto vyhláškou nebo zákonem, nárok na osvobození zaniká</w:t>
      </w:r>
      <w:r w:rsidRPr="00CE6E15">
        <w:rPr>
          <w:rFonts w:ascii="Arial" w:eastAsia="Arial" w:hAnsi="Arial" w:cs="Arial"/>
          <w:kern w:val="3"/>
          <w:vertAlign w:val="superscript"/>
          <w:lang w:eastAsia="zh-CN" w:bidi="hi-IN"/>
        </w:rPr>
        <w:footnoteReference w:id="9"/>
      </w:r>
      <w:r w:rsidRPr="00CE6E15">
        <w:rPr>
          <w:rFonts w:ascii="Arial" w:eastAsia="Arial" w:hAnsi="Arial" w:cs="Arial"/>
          <w:kern w:val="3"/>
          <w:lang w:eastAsia="zh-CN" w:bidi="hi-IN"/>
        </w:rPr>
        <w:t>.</w:t>
      </w:r>
    </w:p>
    <w:p w:rsidR="00CE6E15" w:rsidRPr="00CE6E15" w:rsidRDefault="00CE6E15" w:rsidP="00CE6E15">
      <w:pPr>
        <w:keepNext/>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CE6E15">
        <w:rPr>
          <w:rFonts w:ascii="Arial" w:eastAsia="PingFang SC" w:hAnsi="Arial" w:cs="Arial Unicode MS"/>
          <w:b/>
          <w:bCs/>
          <w:kern w:val="3"/>
          <w:sz w:val="24"/>
          <w:szCs w:val="24"/>
          <w:lang w:eastAsia="zh-CN" w:bidi="hi-IN"/>
        </w:rPr>
        <w:t>Čl. 7</w:t>
      </w:r>
      <w:r w:rsidRPr="00CE6E15">
        <w:rPr>
          <w:rFonts w:ascii="Arial" w:eastAsia="PingFang SC" w:hAnsi="Arial" w:cs="Arial Unicode MS"/>
          <w:b/>
          <w:bCs/>
          <w:kern w:val="3"/>
          <w:sz w:val="24"/>
          <w:szCs w:val="24"/>
          <w:lang w:eastAsia="zh-CN" w:bidi="hi-IN"/>
        </w:rPr>
        <w:br/>
        <w:t xml:space="preserve"> Přechodné a zrušovací ustanovení</w:t>
      </w:r>
    </w:p>
    <w:p w:rsidR="00CE6E15" w:rsidRPr="00CE6E15" w:rsidRDefault="00CE6E15" w:rsidP="00CE6E15">
      <w:pPr>
        <w:numPr>
          <w:ilvl w:val="0"/>
          <w:numId w:val="7"/>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Poplatkové povinnosti vzniklé před nabytím účinnosti této vyhlášky se posuzují podle dosavadních právních předpisů.</w:t>
      </w:r>
    </w:p>
    <w:p w:rsidR="00CE6E15" w:rsidRPr="00CE6E15" w:rsidRDefault="00CE6E15" w:rsidP="00CE6E15">
      <w:pPr>
        <w:numPr>
          <w:ilvl w:val="0"/>
          <w:numId w:val="1"/>
        </w:num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lastRenderedPageBreak/>
        <w:t>Zrušuje se obecně závazná vyhláška č. 7/2020, o místním poplatku ze psů, ze dne 26. května 2020.</w:t>
      </w:r>
    </w:p>
    <w:p w:rsidR="00CE6E15" w:rsidRPr="00CE6E15" w:rsidRDefault="00CE6E15" w:rsidP="00CE6E15">
      <w:pPr>
        <w:keepNext/>
        <w:suppressAutoHyphens/>
        <w:autoSpaceDN w:val="0"/>
        <w:spacing w:before="360" w:after="120" w:line="276" w:lineRule="auto"/>
        <w:jc w:val="center"/>
        <w:textAlignment w:val="baseline"/>
        <w:outlineLvl w:val="1"/>
        <w:rPr>
          <w:rFonts w:ascii="Arial" w:eastAsia="PingFang SC" w:hAnsi="Arial" w:cs="Arial Unicode MS"/>
          <w:b/>
          <w:bCs/>
          <w:kern w:val="3"/>
          <w:sz w:val="24"/>
          <w:szCs w:val="24"/>
          <w:lang w:eastAsia="zh-CN" w:bidi="hi-IN"/>
        </w:rPr>
      </w:pPr>
      <w:r w:rsidRPr="00CE6E15">
        <w:rPr>
          <w:rFonts w:ascii="Arial" w:eastAsia="PingFang SC" w:hAnsi="Arial" w:cs="Arial Unicode MS"/>
          <w:b/>
          <w:bCs/>
          <w:kern w:val="3"/>
          <w:sz w:val="24"/>
          <w:szCs w:val="24"/>
          <w:lang w:eastAsia="zh-CN" w:bidi="hi-IN"/>
        </w:rPr>
        <w:t>Čl. 8</w:t>
      </w:r>
      <w:r w:rsidRPr="00CE6E15">
        <w:rPr>
          <w:rFonts w:ascii="Arial" w:eastAsia="PingFang SC" w:hAnsi="Arial" w:cs="Arial Unicode MS"/>
          <w:b/>
          <w:bCs/>
          <w:kern w:val="3"/>
          <w:sz w:val="24"/>
          <w:szCs w:val="24"/>
          <w:lang w:eastAsia="zh-CN" w:bidi="hi-IN"/>
        </w:rPr>
        <w:br/>
        <w:t>Účinnost</w:t>
      </w:r>
    </w:p>
    <w:p w:rsidR="00CE6E15" w:rsidRPr="00CE6E15" w:rsidRDefault="00CE6E15" w:rsidP="00CE6E15">
      <w:pPr>
        <w:tabs>
          <w:tab w:val="left" w:pos="567"/>
        </w:tabs>
        <w:suppressAutoHyphens/>
        <w:autoSpaceDN w:val="0"/>
        <w:spacing w:after="120" w:line="276" w:lineRule="auto"/>
        <w:jc w:val="both"/>
        <w:textAlignment w:val="baseline"/>
        <w:rPr>
          <w:rFonts w:ascii="Arial" w:eastAsia="Arial" w:hAnsi="Arial" w:cs="Arial"/>
          <w:kern w:val="3"/>
          <w:lang w:eastAsia="zh-CN" w:bidi="hi-IN"/>
        </w:rPr>
      </w:pPr>
      <w:r w:rsidRPr="00CE6E15">
        <w:rPr>
          <w:rFonts w:ascii="Arial" w:eastAsia="Arial" w:hAnsi="Arial" w:cs="Arial"/>
          <w:kern w:val="3"/>
          <w:lang w:eastAsia="zh-CN" w:bidi="hi-IN"/>
        </w:rP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E6E15" w:rsidRPr="00CE6E15" w:rsidTr="001B0CEA">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CE6E15" w:rsidRPr="00CE6E15" w:rsidRDefault="00CE6E15" w:rsidP="00CE6E15">
            <w:pPr>
              <w:widowControl w:val="0"/>
              <w:suppressLineNumbers/>
              <w:suppressAutoHyphens/>
              <w:autoSpaceDN w:val="0"/>
              <w:spacing w:after="0" w:line="240" w:lineRule="auto"/>
              <w:jc w:val="center"/>
              <w:textAlignment w:val="baseline"/>
              <w:rPr>
                <w:rFonts w:ascii="Arial" w:eastAsia="Arial" w:hAnsi="Arial" w:cs="Arial"/>
                <w:kern w:val="3"/>
                <w:lang w:eastAsia="zh-CN" w:bidi="hi-IN"/>
              </w:rPr>
            </w:pPr>
            <w:r w:rsidRPr="00CE6E15">
              <w:rPr>
                <w:rFonts w:ascii="Arial" w:eastAsia="Arial" w:hAnsi="Arial" w:cs="Arial"/>
                <w:kern w:val="3"/>
                <w:lang w:eastAsia="zh-CN" w:bidi="hi-IN"/>
              </w:rPr>
              <w:t>Jaroslav Dušek v. r.</w:t>
            </w:r>
            <w:r w:rsidRPr="00CE6E15">
              <w:rPr>
                <w:rFonts w:ascii="Arial" w:eastAsia="Arial" w:hAnsi="Arial" w:cs="Arial"/>
                <w:kern w:val="3"/>
                <w:lang w:eastAsia="zh-CN" w:bidi="hi-IN"/>
              </w:rPr>
              <w:br/>
              <w:t xml:space="preserve"> starosta</w:t>
            </w:r>
          </w:p>
        </w:tc>
        <w:tc>
          <w:tcPr>
            <w:tcW w:w="4821" w:type="dxa"/>
            <w:shd w:val="clear" w:color="auto" w:fill="auto"/>
            <w:tcMar>
              <w:top w:w="55" w:type="dxa"/>
              <w:left w:w="55" w:type="dxa"/>
              <w:bottom w:w="55" w:type="dxa"/>
              <w:right w:w="55" w:type="dxa"/>
            </w:tcMar>
            <w:vAlign w:val="bottom"/>
          </w:tcPr>
          <w:p w:rsidR="00CE6E15" w:rsidRPr="00CE6E15" w:rsidRDefault="00CE6E15" w:rsidP="00CE6E15">
            <w:pPr>
              <w:widowControl w:val="0"/>
              <w:suppressLineNumbers/>
              <w:suppressAutoHyphens/>
              <w:autoSpaceDN w:val="0"/>
              <w:spacing w:after="0" w:line="240" w:lineRule="auto"/>
              <w:jc w:val="center"/>
              <w:textAlignment w:val="baseline"/>
              <w:rPr>
                <w:rFonts w:ascii="Arial" w:eastAsia="Arial" w:hAnsi="Arial" w:cs="Arial"/>
                <w:kern w:val="3"/>
                <w:lang w:eastAsia="zh-CN" w:bidi="hi-IN"/>
              </w:rPr>
            </w:pPr>
            <w:r w:rsidRPr="00CE6E15">
              <w:rPr>
                <w:rFonts w:ascii="Arial" w:eastAsia="Arial" w:hAnsi="Arial" w:cs="Arial"/>
                <w:kern w:val="3"/>
                <w:lang w:eastAsia="zh-CN" w:bidi="hi-IN"/>
              </w:rPr>
              <w:t>Pavel Zajíc v. r.</w:t>
            </w:r>
            <w:r w:rsidRPr="00CE6E15">
              <w:rPr>
                <w:rFonts w:ascii="Arial" w:eastAsia="Arial" w:hAnsi="Arial" w:cs="Arial"/>
                <w:kern w:val="3"/>
                <w:lang w:eastAsia="zh-CN" w:bidi="hi-IN"/>
              </w:rPr>
              <w:br/>
              <w:t xml:space="preserve"> místostarosta</w:t>
            </w:r>
          </w:p>
        </w:tc>
      </w:tr>
      <w:tr w:rsidR="00CE6E15" w:rsidRPr="00CE6E15" w:rsidTr="001B0CEA">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CE6E15" w:rsidRPr="00CE6E15" w:rsidRDefault="00CE6E15" w:rsidP="00CE6E15">
            <w:pPr>
              <w:widowControl w:val="0"/>
              <w:suppressLineNumbers/>
              <w:suppressAutoHyphens/>
              <w:autoSpaceDN w:val="0"/>
              <w:spacing w:after="0" w:line="240" w:lineRule="auto"/>
              <w:jc w:val="center"/>
              <w:textAlignment w:val="baseline"/>
              <w:rPr>
                <w:rFonts w:ascii="Arial" w:eastAsia="Arial" w:hAnsi="Arial" w:cs="Arial"/>
                <w:kern w:val="3"/>
                <w:lang w:eastAsia="zh-CN" w:bidi="hi-IN"/>
              </w:rPr>
            </w:pPr>
          </w:p>
        </w:tc>
        <w:tc>
          <w:tcPr>
            <w:tcW w:w="4821" w:type="dxa"/>
            <w:shd w:val="clear" w:color="auto" w:fill="auto"/>
            <w:tcMar>
              <w:top w:w="55" w:type="dxa"/>
              <w:left w:w="55" w:type="dxa"/>
              <w:bottom w:w="55" w:type="dxa"/>
              <w:right w:w="55" w:type="dxa"/>
            </w:tcMar>
            <w:vAlign w:val="bottom"/>
          </w:tcPr>
          <w:p w:rsidR="00CE6E15" w:rsidRPr="00CE6E15" w:rsidRDefault="00CE6E15" w:rsidP="00CE6E15">
            <w:pPr>
              <w:widowControl w:val="0"/>
              <w:suppressLineNumbers/>
              <w:suppressAutoHyphens/>
              <w:autoSpaceDN w:val="0"/>
              <w:spacing w:after="0" w:line="240" w:lineRule="auto"/>
              <w:jc w:val="center"/>
              <w:textAlignment w:val="baseline"/>
              <w:rPr>
                <w:rFonts w:ascii="Arial" w:eastAsia="Arial" w:hAnsi="Arial" w:cs="Arial"/>
                <w:kern w:val="3"/>
                <w:lang w:eastAsia="zh-CN" w:bidi="hi-IN"/>
              </w:rPr>
            </w:pPr>
          </w:p>
        </w:tc>
      </w:tr>
    </w:tbl>
    <w:p w:rsidR="00CE6E15" w:rsidRPr="00CE6E15" w:rsidRDefault="00CE6E15" w:rsidP="00CE6E15">
      <w:pPr>
        <w:suppressAutoHyphens/>
        <w:autoSpaceDN w:val="0"/>
        <w:spacing w:after="0" w:line="240" w:lineRule="auto"/>
        <w:textAlignment w:val="baseline"/>
        <w:rPr>
          <w:rFonts w:ascii="Liberation Serif" w:eastAsia="Songti SC" w:hAnsi="Liberation Serif" w:cs="Arial Unicode MS"/>
          <w:kern w:val="3"/>
          <w:sz w:val="24"/>
          <w:szCs w:val="24"/>
          <w:lang w:eastAsia="zh-CN" w:bidi="hi-IN"/>
        </w:rPr>
      </w:pPr>
    </w:p>
    <w:p w:rsidR="008A7417" w:rsidRDefault="008A7417" w:rsidP="000079F7">
      <w:pPr>
        <w:jc w:val="both"/>
        <w:rPr>
          <w:sz w:val="36"/>
          <w:szCs w:val="36"/>
        </w:rPr>
      </w:pPr>
    </w:p>
    <w:sectPr w:rsidR="008A74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C88" w:rsidRDefault="00A66C88" w:rsidP="00CE6E15">
      <w:pPr>
        <w:spacing w:after="0" w:line="240" w:lineRule="auto"/>
      </w:pPr>
      <w:r>
        <w:separator/>
      </w:r>
    </w:p>
  </w:endnote>
  <w:endnote w:type="continuationSeparator" w:id="0">
    <w:p w:rsidR="00A66C88" w:rsidRDefault="00A66C88" w:rsidP="00CE6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Songti SC">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C88" w:rsidRDefault="00A66C88" w:rsidP="00CE6E15">
      <w:pPr>
        <w:spacing w:after="0" w:line="240" w:lineRule="auto"/>
      </w:pPr>
      <w:r>
        <w:separator/>
      </w:r>
    </w:p>
  </w:footnote>
  <w:footnote w:type="continuationSeparator" w:id="0">
    <w:p w:rsidR="00A66C88" w:rsidRDefault="00A66C88" w:rsidP="00CE6E15">
      <w:pPr>
        <w:spacing w:after="0" w:line="240" w:lineRule="auto"/>
      </w:pPr>
      <w:r>
        <w:continuationSeparator/>
      </w:r>
    </w:p>
  </w:footnote>
  <w:footnote w:id="1">
    <w:p w:rsidR="00CE6E15" w:rsidRDefault="00CE6E15" w:rsidP="00CE6E15">
      <w:pPr>
        <w:pStyle w:val="Footnote"/>
      </w:pPr>
      <w:r>
        <w:rPr>
          <w:rStyle w:val="Znakapoznpodarou"/>
        </w:rPr>
        <w:footnoteRef/>
      </w:r>
      <w:r>
        <w:t>§ 2 odst. 5 zákona o místních poplatcích</w:t>
      </w:r>
    </w:p>
  </w:footnote>
  <w:footnote w:id="2">
    <w:p w:rsidR="00CE6E15" w:rsidRDefault="00CE6E15" w:rsidP="00CE6E15">
      <w:pPr>
        <w:pStyle w:val="Footnote"/>
      </w:pPr>
      <w:r>
        <w:rPr>
          <w:rStyle w:val="Znakapoznpodarou"/>
        </w:rPr>
        <w:footnoteRef/>
      </w:r>
      <w:r>
        <w:t>§ 15 odst. 1 zákona o místních poplatcích</w:t>
      </w:r>
    </w:p>
  </w:footnote>
  <w:footnote w:id="3">
    <w:p w:rsidR="00CE6E15" w:rsidRDefault="00CE6E15" w:rsidP="00CE6E15">
      <w:pPr>
        <w:pStyle w:val="Footnote"/>
      </w:pPr>
      <w:r>
        <w:rPr>
          <w:rStyle w:val="Znakapoznpodarou"/>
        </w:rPr>
        <w:footnoteRef/>
      </w:r>
      <w:r>
        <w:t>§ 2 odst. 1 a 4 zákona o místních poplatcích</w:t>
      </w:r>
    </w:p>
  </w:footnote>
  <w:footnote w:id="4">
    <w:p w:rsidR="00CE6E15" w:rsidRDefault="00CE6E15" w:rsidP="00CE6E15">
      <w:pPr>
        <w:pStyle w:val="Footnote"/>
      </w:pPr>
      <w:r>
        <w:rPr>
          <w:rStyle w:val="Znakapoznpodarou"/>
        </w:rPr>
        <w:footnoteRef/>
      </w:r>
      <w:r>
        <w:t>§ 2 odst. 2 zákona o místních poplatcích</w:t>
      </w:r>
    </w:p>
  </w:footnote>
  <w:footnote w:id="5">
    <w:p w:rsidR="00CE6E15" w:rsidRDefault="00CE6E15" w:rsidP="00CE6E1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CE6E15" w:rsidRDefault="00CE6E15" w:rsidP="00CE6E15">
      <w:pPr>
        <w:pStyle w:val="Footnote"/>
      </w:pPr>
      <w:r>
        <w:rPr>
          <w:rStyle w:val="Znakapoznpodarou"/>
        </w:rPr>
        <w:footnoteRef/>
      </w:r>
      <w:r>
        <w:t>§ 14a odst. 4 zákona o místních poplatcích</w:t>
      </w:r>
    </w:p>
  </w:footnote>
  <w:footnote w:id="7">
    <w:p w:rsidR="00CE6E15" w:rsidRDefault="00CE6E15" w:rsidP="00CE6E15">
      <w:pPr>
        <w:pStyle w:val="Footnote"/>
      </w:pPr>
      <w:r>
        <w:rPr>
          <w:rStyle w:val="Znakapoznpodarou"/>
        </w:rPr>
        <w:footnoteRef/>
      </w:r>
      <w:r>
        <w:t>§ 2 odst. 3 zákona o místních poplatcích</w:t>
      </w:r>
    </w:p>
  </w:footnote>
  <w:footnote w:id="8">
    <w:p w:rsidR="00CE6E15" w:rsidRDefault="00CE6E15" w:rsidP="00CE6E15">
      <w:pPr>
        <w:pStyle w:val="Footnote"/>
      </w:pPr>
      <w:r>
        <w:rPr>
          <w:rStyle w:val="Znakapoznpodarou"/>
        </w:rPr>
        <w:footnoteRef/>
      </w:r>
      <w:r>
        <w:t>§ 2 odst. 2 zákona o místních poplatcích</w:t>
      </w:r>
    </w:p>
  </w:footnote>
  <w:footnote w:id="9">
    <w:p w:rsidR="00CE6E15" w:rsidRDefault="00CE6E15" w:rsidP="00CE6E1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113B67"/>
    <w:multiLevelType w:val="multilevel"/>
    <w:tmpl w:val="4B44D9A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44B"/>
    <w:rsid w:val="000079F7"/>
    <w:rsid w:val="00042C20"/>
    <w:rsid w:val="00147826"/>
    <w:rsid w:val="001F2302"/>
    <w:rsid w:val="002B4F7F"/>
    <w:rsid w:val="003C1697"/>
    <w:rsid w:val="003F3322"/>
    <w:rsid w:val="004B45D2"/>
    <w:rsid w:val="004C06C2"/>
    <w:rsid w:val="005017F3"/>
    <w:rsid w:val="00514A67"/>
    <w:rsid w:val="006069ED"/>
    <w:rsid w:val="006E3CAB"/>
    <w:rsid w:val="007021EC"/>
    <w:rsid w:val="0087444B"/>
    <w:rsid w:val="00882E36"/>
    <w:rsid w:val="008A7417"/>
    <w:rsid w:val="009C577A"/>
    <w:rsid w:val="00A66C88"/>
    <w:rsid w:val="00A77A09"/>
    <w:rsid w:val="00A841AD"/>
    <w:rsid w:val="00AA0A8B"/>
    <w:rsid w:val="00CA3767"/>
    <w:rsid w:val="00CE6E15"/>
    <w:rsid w:val="00D06E63"/>
    <w:rsid w:val="00D93B30"/>
    <w:rsid w:val="00D969E7"/>
    <w:rsid w:val="00FC43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87444B"/>
    <w:rPr>
      <w:color w:val="0563C1" w:themeColor="hyperlink"/>
      <w:u w:val="single"/>
    </w:rPr>
  </w:style>
  <w:style w:type="paragraph" w:styleId="Textbubliny">
    <w:name w:val="Balloon Text"/>
    <w:basedOn w:val="Normln"/>
    <w:link w:val="TextbublinyChar"/>
    <w:uiPriority w:val="99"/>
    <w:semiHidden/>
    <w:unhideWhenUsed/>
    <w:rsid w:val="00A841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41AD"/>
    <w:rPr>
      <w:rFonts w:ascii="Segoe UI" w:hAnsi="Segoe UI" w:cs="Segoe UI"/>
      <w:sz w:val="18"/>
      <w:szCs w:val="18"/>
    </w:rPr>
  </w:style>
  <w:style w:type="paragraph" w:customStyle="1" w:styleId="Footnote">
    <w:name w:val="Footnote"/>
    <w:basedOn w:val="Normln"/>
    <w:rsid w:val="00CE6E15"/>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rsid w:val="00CE6E15"/>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87444B"/>
    <w:rPr>
      <w:color w:val="0563C1" w:themeColor="hyperlink"/>
      <w:u w:val="single"/>
    </w:rPr>
  </w:style>
  <w:style w:type="paragraph" w:styleId="Textbubliny">
    <w:name w:val="Balloon Text"/>
    <w:basedOn w:val="Normln"/>
    <w:link w:val="TextbublinyChar"/>
    <w:uiPriority w:val="99"/>
    <w:semiHidden/>
    <w:unhideWhenUsed/>
    <w:rsid w:val="00A841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41AD"/>
    <w:rPr>
      <w:rFonts w:ascii="Segoe UI" w:hAnsi="Segoe UI" w:cs="Segoe UI"/>
      <w:sz w:val="18"/>
      <w:szCs w:val="18"/>
    </w:rPr>
  </w:style>
  <w:style w:type="paragraph" w:customStyle="1" w:styleId="Footnote">
    <w:name w:val="Footnote"/>
    <w:basedOn w:val="Normln"/>
    <w:rsid w:val="00CE6E15"/>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rsid w:val="00CE6E15"/>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bnouseves.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494</Words>
  <Characters>2915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Obu Třebnouševes</cp:lastModifiedBy>
  <cp:revision>2</cp:revision>
  <cp:lastPrinted>2024-12-16T09:41:00Z</cp:lastPrinted>
  <dcterms:created xsi:type="dcterms:W3CDTF">2024-12-16T09:42:00Z</dcterms:created>
  <dcterms:modified xsi:type="dcterms:W3CDTF">2024-12-16T09:42:00Z</dcterms:modified>
</cp:coreProperties>
</file>