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B17" w:rsidRDefault="00921B17" w:rsidP="0084709C">
      <w:pPr>
        <w:jc w:val="center"/>
        <w:rPr>
          <w:rFonts w:asciiTheme="minorHAnsi" w:hAnsiTheme="minorHAnsi" w:cstheme="minorHAnsi"/>
          <w:color w:val="000000"/>
          <w:szCs w:val="21"/>
        </w:rPr>
      </w:pPr>
      <w:r w:rsidRPr="0084709C">
        <w:rPr>
          <w:rFonts w:asciiTheme="minorHAnsi" w:hAnsiTheme="minorHAnsi" w:cstheme="minorHAnsi"/>
          <w:color w:val="000000"/>
          <w:szCs w:val="21"/>
        </w:rPr>
        <w:t>M ě s t o   B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í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l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i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n</w:t>
      </w:r>
      <w:r w:rsidR="000D0195" w:rsidRPr="0084709C">
        <w:rPr>
          <w:rFonts w:asciiTheme="minorHAnsi" w:hAnsiTheme="minorHAnsi" w:cstheme="minorHAnsi"/>
          <w:color w:val="000000"/>
          <w:szCs w:val="21"/>
        </w:rPr>
        <w:t xml:space="preserve"> </w:t>
      </w:r>
      <w:r w:rsidRPr="0084709C">
        <w:rPr>
          <w:rFonts w:asciiTheme="minorHAnsi" w:hAnsiTheme="minorHAnsi" w:cstheme="minorHAnsi"/>
          <w:color w:val="000000"/>
          <w:szCs w:val="21"/>
        </w:rPr>
        <w:t>a</w:t>
      </w:r>
    </w:p>
    <w:p w:rsidR="0084709C" w:rsidRPr="0084709C" w:rsidRDefault="0084709C" w:rsidP="0084709C">
      <w:pPr>
        <w:jc w:val="center"/>
        <w:rPr>
          <w:rFonts w:asciiTheme="minorHAnsi" w:hAnsiTheme="minorHAnsi" w:cstheme="minorHAnsi"/>
          <w:color w:val="000000"/>
          <w:szCs w:val="21"/>
        </w:rPr>
      </w:pPr>
    </w:p>
    <w:p w:rsidR="00A1202E" w:rsidRPr="00324AF6" w:rsidRDefault="00921B17" w:rsidP="0084709C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21"/>
        </w:rPr>
      </w:pPr>
      <w:r w:rsidRPr="00324AF6">
        <w:rPr>
          <w:rFonts w:asciiTheme="minorHAnsi" w:hAnsiTheme="minorHAnsi" w:cstheme="minorHAnsi"/>
          <w:color w:val="000000"/>
          <w:sz w:val="32"/>
          <w:szCs w:val="21"/>
        </w:rPr>
        <w:t> </w:t>
      </w:r>
      <w:r w:rsidRPr="00324AF6">
        <w:rPr>
          <w:rFonts w:asciiTheme="minorHAnsi" w:hAnsiTheme="minorHAnsi" w:cstheme="minorHAnsi"/>
          <w:b/>
          <w:bCs/>
          <w:color w:val="000000"/>
          <w:sz w:val="32"/>
          <w:szCs w:val="21"/>
        </w:rPr>
        <w:t>Nařízení města Bíliny</w:t>
      </w:r>
      <w:r w:rsidR="001B56A2" w:rsidRPr="00324AF6">
        <w:rPr>
          <w:rFonts w:asciiTheme="minorHAnsi" w:hAnsiTheme="minorHAnsi" w:cstheme="minorHAnsi"/>
          <w:b/>
          <w:bCs/>
          <w:color w:val="000000"/>
          <w:sz w:val="32"/>
          <w:szCs w:val="21"/>
        </w:rPr>
        <w:t>,</w:t>
      </w:r>
    </w:p>
    <w:p w:rsidR="00921B17" w:rsidRPr="0084709C" w:rsidRDefault="00921B17" w:rsidP="0084709C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1"/>
        </w:rPr>
      </w:pPr>
      <w:r w:rsidRPr="0084709C">
        <w:rPr>
          <w:rFonts w:asciiTheme="minorHAnsi" w:hAnsiTheme="minorHAnsi" w:cstheme="minorHAnsi"/>
          <w:b/>
          <w:bCs/>
          <w:color w:val="000000"/>
          <w:sz w:val="28"/>
          <w:szCs w:val="21"/>
        </w:rPr>
        <w:t>kterým se stanovují maximální ceny za nucené odtahy vozidel</w:t>
      </w:r>
    </w:p>
    <w:p w:rsidR="00921B17" w:rsidRPr="00324AF6" w:rsidRDefault="00921B17" w:rsidP="00051975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Rada města Bíliny se na svém zasedání 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konaném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dne 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12.</w:t>
      </w:r>
      <w:r w:rsidR="006851A6" w:rsidRPr="00324AF6">
        <w:rPr>
          <w:rFonts w:asciiTheme="minorHAnsi" w:hAnsiTheme="minorHAnsi" w:cstheme="minorHAnsi"/>
          <w:color w:val="000000"/>
          <w:sz w:val="21"/>
          <w:szCs w:val="21"/>
        </w:rPr>
        <w:t>03.</w:t>
      </w:r>
      <w:r w:rsidR="00033215" w:rsidRPr="00324AF6">
        <w:rPr>
          <w:rFonts w:asciiTheme="minorHAnsi" w:hAnsiTheme="minorHAnsi" w:cstheme="minorHAnsi"/>
          <w:color w:val="000000"/>
          <w:sz w:val="21"/>
          <w:szCs w:val="21"/>
        </w:rPr>
        <w:t>20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>24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usnesením</w:t>
      </w:r>
      <w:r w:rsidR="001F0C8C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pod číslem 328</w:t>
      </w:r>
      <w:r w:rsidR="006851A6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vyda</w:t>
      </w:r>
      <w:r w:rsidR="00A1202E" w:rsidRPr="00324AF6">
        <w:rPr>
          <w:rFonts w:asciiTheme="minorHAnsi" w:hAnsiTheme="minorHAnsi" w:cstheme="minorHAnsi"/>
          <w:color w:val="000000"/>
          <w:sz w:val="21"/>
          <w:szCs w:val="21"/>
        </w:rPr>
        <w:t>la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na základě §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proofErr w:type="gramStart"/>
      <w:r w:rsidRPr="00324AF6">
        <w:rPr>
          <w:rFonts w:asciiTheme="minorHAnsi" w:hAnsiTheme="minorHAnsi" w:cstheme="minorHAnsi"/>
          <w:color w:val="000000"/>
          <w:sz w:val="21"/>
          <w:szCs w:val="21"/>
        </w:rPr>
        <w:t>4a</w:t>
      </w:r>
      <w:proofErr w:type="gramEnd"/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odst. 1 písm. a) zákona č. 265/1991 Sb., o působnosti orgánů České republiky v oblasti cen, ve znění pozdějších předpisů, v souladu s Výměrem Ministerstva financí, kterým se vydává seznam zboží s regulovanými cenami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č.</w:t>
      </w:r>
      <w:r w:rsidR="006851A6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93FCA" w:rsidRPr="00324AF6">
        <w:rPr>
          <w:rFonts w:asciiTheme="minorHAnsi" w:hAnsiTheme="minorHAnsi" w:cstheme="minorHAnsi"/>
          <w:color w:val="000000"/>
          <w:sz w:val="21"/>
          <w:szCs w:val="21"/>
        </w:rPr>
        <w:t>1/2024 ze 14.12.2023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a v souladu s §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11 a § 102 odst. 2 písm. d) zákona č.</w:t>
      </w:r>
      <w:r w:rsidR="0084709C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128/2000 Sb., o obcích</w:t>
      </w:r>
      <w:r w:rsidR="00051975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(obecní zřízení)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 ve znění pozdějších předpisů, toto nařízení:</w:t>
      </w:r>
    </w:p>
    <w:p w:rsidR="00921B17" w:rsidRPr="00735932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color w:val="000000"/>
          <w:sz w:val="22"/>
          <w:szCs w:val="21"/>
        </w:rPr>
        <w:t>Článek 1</w:t>
      </w:r>
    </w:p>
    <w:p w:rsidR="00B93FCA" w:rsidRPr="00735932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color w:val="000000"/>
          <w:sz w:val="22"/>
          <w:szCs w:val="21"/>
        </w:rPr>
        <w:t>Předmět úpravy</w:t>
      </w:r>
    </w:p>
    <w:p w:rsidR="00B93FCA" w:rsidRPr="00324AF6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B93FCA" w:rsidRPr="00324AF6" w:rsidRDefault="00B93FCA" w:rsidP="00324AF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Tímto nařízením se stanovují maximální ceny za nucené od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s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tranění silničn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í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ch vozide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l z pozemní komunikace podle podmínek stanovených zvláštními právními přepisy</w:t>
      </w:r>
      <w:r w:rsidR="005A089B">
        <w:rPr>
          <w:rStyle w:val="Znakapoznpodarou"/>
          <w:rFonts w:asciiTheme="minorHAnsi" w:hAnsiTheme="minorHAnsi" w:cstheme="minorHAnsi"/>
          <w:bCs/>
          <w:color w:val="000000"/>
          <w:sz w:val="21"/>
          <w:szCs w:val="21"/>
        </w:rPr>
        <w:footnoteReference w:id="1"/>
      </w:r>
      <w:r w:rsidR="006451BB">
        <w:rPr>
          <w:rStyle w:val="Znakapoznpodarou"/>
          <w:rFonts w:asciiTheme="minorHAnsi" w:hAnsiTheme="minorHAnsi" w:cstheme="minorHAnsi"/>
          <w:bCs/>
          <w:color w:val="000000"/>
          <w:sz w:val="21"/>
          <w:szCs w:val="21"/>
        </w:rPr>
        <w:footnoteReference w:id="2"/>
      </w:r>
      <w:r w:rsidR="00CC5972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>a tímto nařízením (dále jen odtah)</w:t>
      </w:r>
      <w:r w:rsidR="00735932">
        <w:rPr>
          <w:rFonts w:asciiTheme="minorHAnsi" w:hAnsiTheme="minorHAnsi" w:cstheme="minorHAnsi"/>
          <w:bCs/>
          <w:color w:val="000000"/>
          <w:sz w:val="21"/>
          <w:szCs w:val="21"/>
        </w:rPr>
        <w:t>.</w:t>
      </w:r>
      <w:r w:rsidR="008758EF"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  </w:t>
      </w:r>
      <w:r w:rsidRPr="00324AF6">
        <w:rPr>
          <w:rFonts w:asciiTheme="minorHAnsi" w:hAnsiTheme="minorHAnsi" w:cstheme="minorHAnsi"/>
          <w:bCs/>
          <w:color w:val="000000"/>
          <w:sz w:val="21"/>
          <w:szCs w:val="21"/>
        </w:rPr>
        <w:t xml:space="preserve"> </w:t>
      </w:r>
    </w:p>
    <w:p w:rsidR="00B93FCA" w:rsidRPr="00324AF6" w:rsidRDefault="00B93FCA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FB704D" w:rsidRPr="00735932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color w:val="000000"/>
          <w:sz w:val="22"/>
          <w:szCs w:val="21"/>
        </w:rPr>
        <w:t> Maximální cena</w:t>
      </w:r>
    </w:p>
    <w:p w:rsidR="00921B17" w:rsidRPr="00324AF6" w:rsidRDefault="00921B17" w:rsidP="003371A8">
      <w:pPr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>Maximální cena za odtah jednoho vozidla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odtahovým vozidlem podle podmínek stanovených zvláštním právním předpise</w:t>
      </w:r>
      <w:r w:rsidR="00994D0C">
        <w:rPr>
          <w:rFonts w:asciiTheme="minorHAnsi" w:hAnsiTheme="minorHAnsi" w:cstheme="minorHAnsi"/>
          <w:color w:val="000000"/>
          <w:sz w:val="21"/>
          <w:szCs w:val="21"/>
        </w:rPr>
        <w:t>m</w:t>
      </w:r>
      <w:r w:rsidR="007B67C6" w:rsidRPr="007B67C6">
        <w:rPr>
          <w:rFonts w:asciiTheme="minorHAnsi" w:hAnsiTheme="minorHAnsi" w:cstheme="minorHAnsi"/>
          <w:color w:val="000000"/>
          <w:sz w:val="21"/>
          <w:szCs w:val="21"/>
          <w:vertAlign w:val="superscript"/>
        </w:rPr>
        <w:t>12</w:t>
      </w:r>
      <w:r w:rsidR="00A5774A" w:rsidRPr="00A5774A">
        <w:rPr>
          <w:rFonts w:ascii="Calibri" w:hAnsi="Calibri" w:cs="Calibr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činí:</w:t>
      </w:r>
    </w:p>
    <w:p w:rsidR="00921B17" w:rsidRPr="00324AF6" w:rsidRDefault="00921B17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dokončený odtah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2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="00BA2A83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,00 Kč</w:t>
      </w:r>
    </w:p>
    <w:p w:rsidR="00921B17" w:rsidRPr="00324AF6" w:rsidRDefault="008548AB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přerušený odtah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       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00</w:t>
      </w:r>
      <w:r w:rsidR="00921B17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Kč</w:t>
      </w:r>
    </w:p>
    <w:p w:rsidR="00EA2C6B" w:rsidRPr="00324AF6" w:rsidRDefault="00D92504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marný výjezd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                                                              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  <w:t xml:space="preserve">  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500,00 Kč</w:t>
      </w:r>
    </w:p>
    <w:p w:rsidR="00CC5972" w:rsidRPr="00324AF6" w:rsidRDefault="00CC5972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přemístění vozidla, vrácení na místo                                    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5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00,00 Kč    </w:t>
      </w:r>
    </w:p>
    <w:p w:rsidR="00CC5972" w:rsidRPr="00324AF6" w:rsidRDefault="00CC5972" w:rsidP="00F02B86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přemístění vozidla, vrácení na místo v rámci jednoho výjezdu          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1.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800,00 Kč   </w:t>
      </w:r>
    </w:p>
    <w:p w:rsidR="00921B17" w:rsidRPr="00324AF6" w:rsidRDefault="00921B17" w:rsidP="00441DAC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Cena za </w:t>
      </w:r>
      <w:r w:rsidR="009337D3" w:rsidRPr="00324AF6">
        <w:rPr>
          <w:rFonts w:asciiTheme="minorHAnsi" w:hAnsiTheme="minorHAnsi" w:cstheme="minorHAnsi"/>
          <w:b/>
          <w:color w:val="000000"/>
          <w:sz w:val="21"/>
          <w:szCs w:val="21"/>
        </w:rPr>
        <w:t>ostrahu</w:t>
      </w: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 xml:space="preserve"> vozidel na </w:t>
      </w:r>
      <w:r w:rsidR="009337D3" w:rsidRPr="00324AF6">
        <w:rPr>
          <w:rFonts w:asciiTheme="minorHAnsi" w:hAnsiTheme="minorHAnsi" w:cstheme="minorHAnsi"/>
          <w:b/>
          <w:color w:val="000000"/>
          <w:sz w:val="21"/>
          <w:szCs w:val="21"/>
        </w:rPr>
        <w:t>odstavené ploše provozovatele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se určuje jako cena obvyklá a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> 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činí:</w:t>
      </w:r>
    </w:p>
    <w:p w:rsidR="00921B17" w:rsidRPr="00324AF6" w:rsidRDefault="00921B17" w:rsidP="00441DAC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za každých započatých 24 hod.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                                                    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46432E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>500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,00 Kč</w:t>
      </w:r>
    </w:p>
    <w:p w:rsidR="00921B17" w:rsidRPr="00324AF6" w:rsidRDefault="00921B17" w:rsidP="00441DAC">
      <w:pPr>
        <w:numPr>
          <w:ilvl w:val="0"/>
          <w:numId w:val="5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za výdej vozidla mezi 22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00 hod. – 06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00 hod.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CC5972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441DAC" w:rsidRPr="00324AF6">
        <w:rPr>
          <w:rFonts w:asciiTheme="minorHAnsi" w:hAnsiTheme="minorHAnsi" w:cstheme="minorHAnsi"/>
          <w:color w:val="000000"/>
          <w:sz w:val="21"/>
          <w:szCs w:val="21"/>
        </w:rPr>
        <w:tab/>
      </w:r>
      <w:r w:rsidR="0060614A" w:rsidRPr="00324AF6">
        <w:rPr>
          <w:rFonts w:asciiTheme="minorHAnsi" w:hAnsiTheme="minorHAnsi" w:cstheme="minorHAnsi"/>
          <w:color w:val="000000"/>
          <w:sz w:val="21"/>
          <w:szCs w:val="21"/>
        </w:rPr>
        <w:t>100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,00 Kč</w:t>
      </w:r>
    </w:p>
    <w:p w:rsidR="001C623A" w:rsidRPr="00324AF6" w:rsidRDefault="001C623A" w:rsidP="001C623A">
      <w:pPr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Maximální cenou se rozumí cena včetně daně z přidané hodnoty podle zvláštního právního předpisu</w:t>
      </w:r>
      <w:r w:rsidR="00E5550B">
        <w:rPr>
          <w:rFonts w:asciiTheme="minorHAnsi" w:hAnsiTheme="minorHAnsi" w:cstheme="minorHAnsi"/>
          <w:sz w:val="21"/>
          <w:szCs w:val="21"/>
        </w:rPr>
        <w:t>.</w:t>
      </w:r>
      <w:r w:rsidR="00E5550B">
        <w:rPr>
          <w:rStyle w:val="Znakapoznpodarou"/>
          <w:rFonts w:asciiTheme="minorHAnsi" w:hAnsiTheme="minorHAnsi" w:cstheme="minorHAnsi"/>
          <w:sz w:val="21"/>
          <w:szCs w:val="21"/>
        </w:rPr>
        <w:footnoteReference w:id="3"/>
      </w:r>
    </w:p>
    <w:p w:rsidR="00921B17" w:rsidRPr="00324AF6" w:rsidRDefault="00921B17" w:rsidP="00F02B86">
      <w:pPr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b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b/>
          <w:color w:val="000000"/>
          <w:sz w:val="21"/>
          <w:szCs w:val="21"/>
        </w:rPr>
        <w:t>Maximální cena, bez ohledu na typ a druh vozidla použitého k odtahu, zahrnuje:</w:t>
      </w:r>
    </w:p>
    <w:p w:rsidR="000D0195" w:rsidRPr="00324AF6" w:rsidRDefault="00921B17" w:rsidP="0088361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u 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dokončeného 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odtahu: </w:t>
      </w:r>
    </w:p>
    <w:p w:rsidR="00E85579" w:rsidRPr="00324AF6" w:rsidRDefault="00921B17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jízdní výkon na místo, pořízení fotodokumentace odtahovaného vozidla, výkon na místě s použitím mechanické ruky, pořízení písemného záznamu o výkonu, přev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>o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z odtahovaného vozidla na určené parkoviště, složení pomocí mechanické ruky a předání obsluze parkoviště</w:t>
      </w:r>
      <w:r w:rsidR="00211BFA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případně převoz odtahovaného vozidla na jiné určené místo</w:t>
      </w:r>
    </w:p>
    <w:p w:rsidR="000D0195" w:rsidRPr="00324AF6" w:rsidRDefault="000D0195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3A1942" w:rsidRPr="00324AF6" w:rsidRDefault="00921B17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u </w:t>
      </w:r>
      <w:r w:rsidR="00FB704D" w:rsidRPr="00324AF6">
        <w:rPr>
          <w:rFonts w:asciiTheme="minorHAnsi" w:hAnsiTheme="minorHAnsi" w:cstheme="minorHAnsi"/>
          <w:color w:val="000000"/>
          <w:sz w:val="21"/>
          <w:szCs w:val="21"/>
        </w:rPr>
        <w:t>přerušeného odtahu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:      </w:t>
      </w:r>
    </w:p>
    <w:p w:rsidR="003A1942" w:rsidRPr="00324AF6" w:rsidRDefault="003A1942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21B17" w:rsidRDefault="00921B17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jízdní výkon na místo, pořízení fotodokumentace odtahovaného vozidla, výkon na místě s použitím mechanické ruky, složení vozidla zpět na místo a pořízení písemného záznamu o přerušení výkonu, s potvrzením o jeho předání provozovateli.</w:t>
      </w:r>
    </w:p>
    <w:p w:rsidR="00086D54" w:rsidRPr="00324AF6" w:rsidRDefault="00086D54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FB704D" w:rsidRPr="00324AF6" w:rsidRDefault="00FB704D" w:rsidP="00E8557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marného výjezdu:</w:t>
      </w:r>
    </w:p>
    <w:p w:rsidR="00FB704D" w:rsidRPr="00324AF6" w:rsidRDefault="00FB704D" w:rsidP="00E85579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lastRenderedPageBreak/>
        <w:t>započetí jízdního výkonu až po dojetí na požadované místo, kdy požadavek na provedení nuceného odtahu byl odvolán</w:t>
      </w:r>
      <w:r w:rsidR="0088361D" w:rsidRPr="00324AF6">
        <w:rPr>
          <w:rFonts w:asciiTheme="minorHAnsi" w:hAnsiTheme="minorHAnsi" w:cstheme="minorHAnsi"/>
          <w:color w:val="000000"/>
          <w:sz w:val="21"/>
          <w:szCs w:val="21"/>
        </w:rPr>
        <w:t>,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aniž by byly započaty další úkony k odtažení vozidla</w:t>
      </w:r>
      <w:r w:rsidR="00086D54">
        <w:rPr>
          <w:rFonts w:asciiTheme="minorHAnsi" w:hAnsiTheme="minorHAnsi" w:cstheme="minorHAnsi"/>
          <w:color w:val="000000"/>
          <w:sz w:val="21"/>
          <w:szCs w:val="21"/>
        </w:rPr>
        <w:t>.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  </w:t>
      </w:r>
    </w:p>
    <w:p w:rsidR="00FB704D" w:rsidRPr="00324AF6" w:rsidRDefault="00FB704D" w:rsidP="0088361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přemístění vozidla, vrácení na místo</w:t>
      </w:r>
    </w:p>
    <w:p w:rsidR="00FB704D" w:rsidRPr="00324AF6" w:rsidRDefault="00FB704D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jízdní výkon na místo, pořízení fotodokumentace odtahovaného vozidla, výkon na místě s použitím mechanické ruky, pořízení písemného záznamu o výkonu, převoz odtahovaného vozidla na určené </w:t>
      </w:r>
      <w:r w:rsidR="008D6D30" w:rsidRPr="00324AF6">
        <w:rPr>
          <w:rFonts w:asciiTheme="minorHAnsi" w:hAnsiTheme="minorHAnsi" w:cstheme="minorHAnsi"/>
          <w:color w:val="000000"/>
          <w:sz w:val="21"/>
          <w:szCs w:val="21"/>
        </w:rPr>
        <w:t>místo</w:t>
      </w:r>
      <w:r w:rsidRPr="00324AF6">
        <w:rPr>
          <w:rFonts w:asciiTheme="minorHAnsi" w:hAnsiTheme="minorHAnsi" w:cstheme="minorHAnsi"/>
          <w:color w:val="000000"/>
          <w:sz w:val="21"/>
          <w:szCs w:val="21"/>
        </w:rPr>
        <w:t>, složení pomocí mechanické ruky</w:t>
      </w:r>
      <w:r w:rsidR="008D6D30" w:rsidRPr="00324AF6">
        <w:rPr>
          <w:rFonts w:asciiTheme="minorHAnsi" w:hAnsiTheme="minorHAnsi" w:cstheme="minorHAnsi"/>
          <w:color w:val="000000"/>
          <w:sz w:val="21"/>
          <w:szCs w:val="21"/>
        </w:rPr>
        <w:t>. Opakovaný výjezd k provedení zpětného přemístění vozidla na původní místo či do blízkého okolí.</w:t>
      </w:r>
    </w:p>
    <w:p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8D6D30" w:rsidRPr="00324AF6" w:rsidRDefault="008D6D30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přemístění vozidla, vrácení na místo v rámci jednoho výjezdu</w:t>
      </w:r>
    </w:p>
    <w:p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8D6D30" w:rsidRPr="00324AF6" w:rsidRDefault="008D6D30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jízdní výkon na místo, pořízení fotodokumentace odtahovaného vozidla, výkon na místě s použitím mechanické ruky, pořízení písemného záznamu o výkonu, převoz odtahovaného vozidla na určené místo, složení pomocí mechanické ruky a následné vrácení vozidla na původní místo či do blízkého okolí v rámci jednoho výjezdu. </w:t>
      </w:r>
    </w:p>
    <w:p w:rsidR="009337D3" w:rsidRPr="00324AF6" w:rsidRDefault="009337D3" w:rsidP="00E85579">
      <w:pPr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:rsidR="009337D3" w:rsidRPr="00324AF6" w:rsidRDefault="00A76669" w:rsidP="00E85579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324AF6">
        <w:rPr>
          <w:rFonts w:asciiTheme="minorHAnsi" w:hAnsiTheme="minorHAnsi" w:cstheme="minorHAnsi"/>
          <w:color w:val="000000"/>
          <w:sz w:val="21"/>
          <w:szCs w:val="21"/>
        </w:rPr>
        <w:t>u hlídání</w:t>
      </w:r>
      <w:r w:rsidR="009337D3" w:rsidRPr="00324AF6">
        <w:rPr>
          <w:rFonts w:asciiTheme="minorHAnsi" w:hAnsiTheme="minorHAnsi" w:cstheme="minorHAnsi"/>
          <w:color w:val="000000"/>
          <w:sz w:val="21"/>
          <w:szCs w:val="21"/>
        </w:rPr>
        <w:t xml:space="preserve"> vozidla na odstavné ploše provozovatele </w:t>
      </w:r>
    </w:p>
    <w:p w:rsidR="00086D54" w:rsidRDefault="00086D54" w:rsidP="00E855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</w:p>
    <w:p w:rsidR="009337D3" w:rsidRPr="00324AF6" w:rsidRDefault="009337D3" w:rsidP="00E855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náklady na přejímku vozidla, jeho střežení, případné přemístění vozidla na parkovišti v době jeho</w:t>
      </w:r>
    </w:p>
    <w:p w:rsidR="009337D3" w:rsidRPr="00324AF6" w:rsidRDefault="009337D3" w:rsidP="00E85579">
      <w:pPr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střežení, administrativní úkony spojené s výdejem vozidla a platbami.</w:t>
      </w:r>
    </w:p>
    <w:p w:rsidR="008D6D30" w:rsidRDefault="008D6D30" w:rsidP="00FB704D">
      <w:pPr>
        <w:rPr>
          <w:rFonts w:asciiTheme="minorHAnsi" w:hAnsiTheme="minorHAnsi" w:cstheme="minorHAnsi"/>
          <w:color w:val="000000"/>
          <w:sz w:val="21"/>
          <w:szCs w:val="21"/>
        </w:rPr>
      </w:pPr>
    </w:p>
    <w:p w:rsidR="00735932" w:rsidRPr="00324AF6" w:rsidRDefault="00735932" w:rsidP="00FB704D">
      <w:pPr>
        <w:rPr>
          <w:rFonts w:asciiTheme="minorHAnsi" w:hAnsiTheme="minorHAnsi" w:cstheme="minorHAnsi"/>
          <w:color w:val="000000"/>
          <w:sz w:val="21"/>
          <w:szCs w:val="21"/>
        </w:rPr>
      </w:pPr>
    </w:p>
    <w:p w:rsidR="003A1942" w:rsidRPr="00735932" w:rsidRDefault="00921B17" w:rsidP="00921B17">
      <w:pPr>
        <w:jc w:val="center"/>
        <w:outlineLvl w:val="1"/>
        <w:rPr>
          <w:rFonts w:asciiTheme="minorHAnsi" w:hAnsiTheme="minorHAnsi" w:cstheme="minorHAnsi"/>
          <w:b/>
          <w:bCs/>
          <w:color w:val="000000"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color w:val="000000"/>
          <w:sz w:val="22"/>
          <w:szCs w:val="21"/>
        </w:rPr>
        <w:t>Článek 2</w:t>
      </w:r>
    </w:p>
    <w:p w:rsidR="000B4E27" w:rsidRPr="00735932" w:rsidRDefault="000B4E27" w:rsidP="00F87D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1"/>
        </w:rPr>
      </w:pPr>
      <w:r w:rsidRPr="00735932">
        <w:rPr>
          <w:rFonts w:asciiTheme="minorHAnsi" w:hAnsiTheme="minorHAnsi" w:cstheme="minorHAnsi"/>
          <w:b/>
          <w:bCs/>
          <w:sz w:val="22"/>
          <w:szCs w:val="21"/>
        </w:rPr>
        <w:t>Závěrečné a přechodné ustanovení, účinnost</w:t>
      </w:r>
    </w:p>
    <w:p w:rsidR="00F87DDC" w:rsidRPr="00735932" w:rsidRDefault="00F87DDC" w:rsidP="00F87DD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1"/>
        </w:rPr>
      </w:pPr>
    </w:p>
    <w:p w:rsidR="000B4E27" w:rsidRPr="00324AF6" w:rsidRDefault="000B4E2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 xml:space="preserve">Tímto nařízením města se ruší nařízení č. </w:t>
      </w:r>
      <w:r w:rsidR="00C00F97" w:rsidRPr="00324AF6">
        <w:rPr>
          <w:rFonts w:asciiTheme="minorHAnsi" w:hAnsiTheme="minorHAnsi" w:cstheme="minorHAnsi"/>
          <w:sz w:val="21"/>
          <w:szCs w:val="21"/>
        </w:rPr>
        <w:t>5</w:t>
      </w:r>
      <w:r w:rsidRPr="00324AF6">
        <w:rPr>
          <w:rFonts w:asciiTheme="minorHAnsi" w:hAnsiTheme="minorHAnsi" w:cstheme="minorHAnsi"/>
          <w:sz w:val="21"/>
          <w:szCs w:val="21"/>
        </w:rPr>
        <w:t>/201</w:t>
      </w:r>
      <w:r w:rsidR="00C00F97" w:rsidRPr="00324AF6">
        <w:rPr>
          <w:rFonts w:asciiTheme="minorHAnsi" w:hAnsiTheme="minorHAnsi" w:cstheme="minorHAnsi"/>
          <w:sz w:val="21"/>
          <w:szCs w:val="21"/>
        </w:rPr>
        <w:t>0</w:t>
      </w:r>
      <w:r w:rsidRPr="00324AF6">
        <w:rPr>
          <w:rFonts w:asciiTheme="minorHAnsi" w:hAnsiTheme="minorHAnsi" w:cstheme="minorHAnsi"/>
          <w:sz w:val="21"/>
          <w:szCs w:val="21"/>
        </w:rPr>
        <w:t>, o stanovení maximální ceny za nucený odtah a</w:t>
      </w:r>
      <w:r w:rsidR="008548AB" w:rsidRPr="00324AF6">
        <w:rPr>
          <w:rFonts w:asciiTheme="minorHAnsi" w:hAnsiTheme="minorHAnsi" w:cstheme="minorHAnsi"/>
          <w:sz w:val="21"/>
          <w:szCs w:val="21"/>
        </w:rPr>
        <w:t> </w:t>
      </w:r>
      <w:r w:rsidRPr="00324AF6">
        <w:rPr>
          <w:rFonts w:asciiTheme="minorHAnsi" w:hAnsiTheme="minorHAnsi" w:cstheme="minorHAnsi"/>
          <w:sz w:val="21"/>
          <w:szCs w:val="21"/>
        </w:rPr>
        <w:t xml:space="preserve">hlídání odtažených silničních vozidel na území města </w:t>
      </w:r>
      <w:r w:rsidR="00C00F97" w:rsidRPr="00324AF6">
        <w:rPr>
          <w:rFonts w:asciiTheme="minorHAnsi" w:hAnsiTheme="minorHAnsi" w:cstheme="minorHAnsi"/>
          <w:sz w:val="21"/>
          <w:szCs w:val="21"/>
        </w:rPr>
        <w:t>Bíliny</w:t>
      </w:r>
      <w:r w:rsidRPr="00324AF6">
        <w:rPr>
          <w:rFonts w:asciiTheme="minorHAnsi" w:hAnsiTheme="minorHAnsi" w:cstheme="minorHAnsi"/>
          <w:sz w:val="21"/>
          <w:szCs w:val="21"/>
        </w:rPr>
        <w:t xml:space="preserve"> z </w:t>
      </w:r>
      <w:r w:rsidR="00C00F97" w:rsidRPr="00324AF6">
        <w:rPr>
          <w:rFonts w:asciiTheme="minorHAnsi" w:hAnsiTheme="minorHAnsi" w:cstheme="minorHAnsi"/>
          <w:sz w:val="21"/>
          <w:szCs w:val="21"/>
        </w:rPr>
        <w:t>31</w:t>
      </w:r>
      <w:r w:rsidRPr="00324AF6">
        <w:rPr>
          <w:rFonts w:asciiTheme="minorHAnsi" w:hAnsiTheme="minorHAnsi" w:cstheme="minorHAnsi"/>
          <w:sz w:val="21"/>
          <w:szCs w:val="21"/>
        </w:rPr>
        <w:t>.</w:t>
      </w:r>
      <w:r w:rsidR="0046432E">
        <w:rPr>
          <w:rFonts w:asciiTheme="minorHAnsi" w:hAnsiTheme="minorHAnsi" w:cstheme="minorHAnsi"/>
          <w:sz w:val="21"/>
          <w:szCs w:val="21"/>
        </w:rPr>
        <w:t>0</w:t>
      </w:r>
      <w:r w:rsidR="00C00F97" w:rsidRPr="00324AF6">
        <w:rPr>
          <w:rFonts w:asciiTheme="minorHAnsi" w:hAnsiTheme="minorHAnsi" w:cstheme="minorHAnsi"/>
          <w:sz w:val="21"/>
          <w:szCs w:val="21"/>
        </w:rPr>
        <w:t>3</w:t>
      </w:r>
      <w:r w:rsidRPr="00324AF6">
        <w:rPr>
          <w:rFonts w:asciiTheme="minorHAnsi" w:hAnsiTheme="minorHAnsi" w:cstheme="minorHAnsi"/>
          <w:sz w:val="21"/>
          <w:szCs w:val="21"/>
        </w:rPr>
        <w:t>.201</w:t>
      </w:r>
      <w:r w:rsidR="00C00F97" w:rsidRPr="00324AF6">
        <w:rPr>
          <w:rFonts w:asciiTheme="minorHAnsi" w:hAnsiTheme="minorHAnsi" w:cstheme="minorHAnsi"/>
          <w:sz w:val="21"/>
          <w:szCs w:val="21"/>
        </w:rPr>
        <w:t>0</w:t>
      </w:r>
      <w:r w:rsidRPr="00324AF6">
        <w:rPr>
          <w:rFonts w:asciiTheme="minorHAnsi" w:hAnsiTheme="minorHAnsi" w:cstheme="minorHAnsi"/>
          <w:sz w:val="21"/>
          <w:szCs w:val="21"/>
        </w:rPr>
        <w:t>.</w:t>
      </w:r>
    </w:p>
    <w:p w:rsidR="00F87DDC" w:rsidRPr="00324AF6" w:rsidRDefault="00F87DDC" w:rsidP="00E8557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</w:p>
    <w:p w:rsidR="00E85579" w:rsidRPr="00324AF6" w:rsidRDefault="000B4E2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>Toto nařízení se vztahuje na nucené odtahy realizované ode dne nabytí jeho účinnosti. Nucené odtahy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realizované do doby nabytí účinnosti tohoto nařízení se posuzují dle podmínek stanovených dosavadní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právní úpravou (včetně podmínek pro střežení odtaženého vozidla na určeném parkovišti, byť doba</w:t>
      </w:r>
      <w:r w:rsidR="00C00F97" w:rsidRPr="00324AF6">
        <w:rPr>
          <w:rFonts w:asciiTheme="minorHAnsi" w:hAnsiTheme="minorHAnsi" w:cstheme="minorHAnsi"/>
          <w:sz w:val="21"/>
          <w:szCs w:val="21"/>
        </w:rPr>
        <w:t xml:space="preserve"> </w:t>
      </w:r>
      <w:r w:rsidRPr="00324AF6">
        <w:rPr>
          <w:rFonts w:asciiTheme="minorHAnsi" w:hAnsiTheme="minorHAnsi" w:cstheme="minorHAnsi"/>
          <w:sz w:val="21"/>
          <w:szCs w:val="21"/>
        </w:rPr>
        <w:t>umístění vozidla přesáhne do období účinnosti tohoto nařízení).</w:t>
      </w:r>
    </w:p>
    <w:p w:rsidR="00E85579" w:rsidRPr="00324AF6" w:rsidRDefault="00E85579" w:rsidP="00E85579">
      <w:pPr>
        <w:pStyle w:val="Odstavecseseznamem"/>
        <w:jc w:val="both"/>
        <w:rPr>
          <w:rFonts w:asciiTheme="minorHAnsi" w:hAnsiTheme="minorHAnsi" w:cstheme="minorHAnsi"/>
          <w:sz w:val="21"/>
          <w:szCs w:val="21"/>
        </w:rPr>
      </w:pPr>
    </w:p>
    <w:p w:rsidR="00C00F97" w:rsidRPr="00324AF6" w:rsidRDefault="00C00F97" w:rsidP="00E8557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1"/>
          <w:szCs w:val="21"/>
        </w:rPr>
      </w:pPr>
      <w:r w:rsidRPr="00324AF6">
        <w:rPr>
          <w:rFonts w:asciiTheme="minorHAnsi" w:hAnsiTheme="minorHAnsi" w:cstheme="minorHAnsi"/>
          <w:sz w:val="21"/>
          <w:szCs w:val="21"/>
        </w:rPr>
        <w:t xml:space="preserve">Toto nařízení nabývá účinnosti </w:t>
      </w:r>
      <w:r w:rsidR="00780F49" w:rsidRPr="00324AF6">
        <w:rPr>
          <w:rFonts w:asciiTheme="minorHAnsi" w:hAnsiTheme="minorHAnsi" w:cstheme="minorHAnsi"/>
          <w:sz w:val="21"/>
          <w:szCs w:val="21"/>
        </w:rPr>
        <w:t>patnáctým dnem po zveřejnění ve Sbírce právních předpisů.</w:t>
      </w:r>
    </w:p>
    <w:p w:rsidR="000B4E27" w:rsidRDefault="000B4E27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374DFD" w:rsidRDefault="00374DFD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374DFD" w:rsidRPr="00324AF6" w:rsidRDefault="00374DFD" w:rsidP="00E85579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0B4E27" w:rsidRDefault="000B4E27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:rsidR="0097727C" w:rsidRDefault="0097727C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97727C" w:rsidTr="00751EE3">
        <w:tc>
          <w:tcPr>
            <w:tcW w:w="3510" w:type="dxa"/>
          </w:tcPr>
          <w:p w:rsidR="0097727C" w:rsidRPr="004E0A62" w:rsidRDefault="0097727C" w:rsidP="0097727C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 w:rsidRPr="004E0A6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Mgr. Zuzana Schwarz Bařtipánová</w:t>
            </w:r>
            <w:r w:rsidR="00374DFD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</w:p>
          <w:p w:rsidR="004E0A62" w:rsidRPr="0097727C" w:rsidRDefault="004E0A62" w:rsidP="0097727C">
            <w:pPr>
              <w:jc w:val="center"/>
              <w:outlineLvl w:val="1"/>
              <w:rPr>
                <w:rFonts w:asciiTheme="minorHAnsi" w:hAnsiTheme="minorHAnsi" w:cstheme="minorHAnsi"/>
                <w:b/>
                <w:bCs/>
                <w:i/>
                <w:color w:val="000000"/>
                <w:sz w:val="21"/>
                <w:szCs w:val="21"/>
              </w:rPr>
            </w:pPr>
            <w:r w:rsidRPr="004E0A62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starostka města</w:t>
            </w:r>
          </w:p>
        </w:tc>
        <w:tc>
          <w:tcPr>
            <w:tcW w:w="2631" w:type="dxa"/>
          </w:tcPr>
          <w:p w:rsidR="0097727C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Marcela Dvořáková</w:t>
            </w:r>
            <w:r w:rsidR="00751EE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</w:p>
          <w:p w:rsidR="004E0A62" w:rsidRPr="004E0A62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místostarostka města</w:t>
            </w:r>
          </w:p>
        </w:tc>
        <w:tc>
          <w:tcPr>
            <w:tcW w:w="3071" w:type="dxa"/>
          </w:tcPr>
          <w:p w:rsidR="0097727C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Ing. Karel Matuška</w:t>
            </w:r>
            <w:r w:rsidR="00751EE3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 xml:space="preserve"> v. r.</w:t>
            </w:r>
            <w:bookmarkStart w:id="0" w:name="_GoBack"/>
            <w:bookmarkEnd w:id="0"/>
          </w:p>
          <w:p w:rsidR="004E0A62" w:rsidRPr="004E0A62" w:rsidRDefault="004E0A62" w:rsidP="004E0A62">
            <w:pPr>
              <w:jc w:val="center"/>
              <w:outlineLvl w:val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</w:rPr>
              <w:t>místostarosta města</w:t>
            </w:r>
          </w:p>
        </w:tc>
      </w:tr>
    </w:tbl>
    <w:p w:rsidR="0097727C" w:rsidRPr="00324AF6" w:rsidRDefault="0097727C" w:rsidP="006011C6">
      <w:pPr>
        <w:jc w:val="both"/>
        <w:outlineLvl w:val="1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sectPr w:rsidR="0097727C" w:rsidRPr="00324AF6" w:rsidSect="00473B0B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B7" w:rsidRDefault="00E647B7" w:rsidP="008758EF">
      <w:r>
        <w:separator/>
      </w:r>
    </w:p>
  </w:endnote>
  <w:endnote w:type="continuationSeparator" w:id="0">
    <w:p w:rsidR="00E647B7" w:rsidRDefault="00E647B7" w:rsidP="0087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B7" w:rsidRDefault="00E647B7" w:rsidP="008758EF">
      <w:r>
        <w:separator/>
      </w:r>
    </w:p>
  </w:footnote>
  <w:footnote w:type="continuationSeparator" w:id="0">
    <w:p w:rsidR="00E647B7" w:rsidRDefault="00E647B7" w:rsidP="008758EF">
      <w:r>
        <w:continuationSeparator/>
      </w:r>
    </w:p>
  </w:footnote>
  <w:footnote w:id="1">
    <w:p w:rsidR="005A089B" w:rsidRDefault="005A089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83EDE" w:rsidRPr="00483EDE">
        <w:rPr>
          <w:rFonts w:ascii="Calibri" w:hAnsi="Calibri" w:cs="Calibri"/>
          <w:color w:val="000000"/>
          <w:sz w:val="18"/>
          <w:szCs w:val="21"/>
        </w:rPr>
        <w:t>Zákon č. 13/1997 Sb., o pozemních komunikacích, ve znění pozdějších předpisů</w:t>
      </w:r>
    </w:p>
  </w:footnote>
  <w:footnote w:id="2">
    <w:p w:rsidR="006451BB" w:rsidRDefault="006451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35932" w:rsidRPr="00735932">
        <w:rPr>
          <w:rFonts w:ascii="Calibri" w:hAnsi="Calibri" w:cs="Calibri"/>
          <w:color w:val="000000"/>
          <w:sz w:val="18"/>
          <w:szCs w:val="21"/>
        </w:rPr>
        <w:t xml:space="preserve">Zákon č. 361/2000 Sb., o provozu na pozemních komunikacích, ve znění pozdějších předpisů                                  </w:t>
      </w:r>
    </w:p>
  </w:footnote>
  <w:footnote w:id="3">
    <w:p w:rsidR="00E5550B" w:rsidRDefault="00E555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5550B">
        <w:rPr>
          <w:rFonts w:ascii="Calibri" w:hAnsi="Calibri" w:cs="Calibri"/>
          <w:color w:val="000000"/>
          <w:sz w:val="18"/>
          <w:szCs w:val="21"/>
        </w:rPr>
        <w:t>Zákon č. 235/2004 Sb. o dani z přidané hodnoty,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27FF0"/>
    <w:multiLevelType w:val="hybridMultilevel"/>
    <w:tmpl w:val="C8D4E658"/>
    <w:lvl w:ilvl="0" w:tplc="6602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73BC"/>
    <w:multiLevelType w:val="hybridMultilevel"/>
    <w:tmpl w:val="0E7629B4"/>
    <w:lvl w:ilvl="0" w:tplc="3970E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351089"/>
    <w:multiLevelType w:val="hybridMultilevel"/>
    <w:tmpl w:val="1E9C8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7CE2"/>
    <w:multiLevelType w:val="hybridMultilevel"/>
    <w:tmpl w:val="A6F44AF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AB6CAD"/>
    <w:multiLevelType w:val="hybridMultilevel"/>
    <w:tmpl w:val="AE1871DA"/>
    <w:lvl w:ilvl="0" w:tplc="4D368B6E">
      <w:start w:val="1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 w:tplc="C21E6B52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CF7262"/>
    <w:multiLevelType w:val="hybridMultilevel"/>
    <w:tmpl w:val="BF247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91"/>
    <w:rsid w:val="00033215"/>
    <w:rsid w:val="00051975"/>
    <w:rsid w:val="00086D54"/>
    <w:rsid w:val="000B4E27"/>
    <w:rsid w:val="000C27F9"/>
    <w:rsid w:val="000D0195"/>
    <w:rsid w:val="001441D3"/>
    <w:rsid w:val="001B56A2"/>
    <w:rsid w:val="001C623A"/>
    <w:rsid w:val="001F0C8C"/>
    <w:rsid w:val="00211BFA"/>
    <w:rsid w:val="00292569"/>
    <w:rsid w:val="00324AF6"/>
    <w:rsid w:val="003371A8"/>
    <w:rsid w:val="00374DFD"/>
    <w:rsid w:val="003A1942"/>
    <w:rsid w:val="00441DAC"/>
    <w:rsid w:val="0046432E"/>
    <w:rsid w:val="00473B0B"/>
    <w:rsid w:val="00482FB5"/>
    <w:rsid w:val="00483EDE"/>
    <w:rsid w:val="004E0A62"/>
    <w:rsid w:val="00524F24"/>
    <w:rsid w:val="005A089B"/>
    <w:rsid w:val="006011C6"/>
    <w:rsid w:val="00602FCD"/>
    <w:rsid w:val="0060614A"/>
    <w:rsid w:val="00615991"/>
    <w:rsid w:val="006451BB"/>
    <w:rsid w:val="006851A6"/>
    <w:rsid w:val="00707211"/>
    <w:rsid w:val="00725264"/>
    <w:rsid w:val="00735932"/>
    <w:rsid w:val="00751EE3"/>
    <w:rsid w:val="00780F49"/>
    <w:rsid w:val="007B67C6"/>
    <w:rsid w:val="007F57E2"/>
    <w:rsid w:val="0083457A"/>
    <w:rsid w:val="0084709C"/>
    <w:rsid w:val="008548AB"/>
    <w:rsid w:val="008758EF"/>
    <w:rsid w:val="0088361D"/>
    <w:rsid w:val="008C385A"/>
    <w:rsid w:val="008D0D25"/>
    <w:rsid w:val="008D6D30"/>
    <w:rsid w:val="00912A61"/>
    <w:rsid w:val="00921B17"/>
    <w:rsid w:val="009337D3"/>
    <w:rsid w:val="0097350D"/>
    <w:rsid w:val="0097727C"/>
    <w:rsid w:val="009943EC"/>
    <w:rsid w:val="00994D0C"/>
    <w:rsid w:val="009B074B"/>
    <w:rsid w:val="009B79C4"/>
    <w:rsid w:val="009C6618"/>
    <w:rsid w:val="00A1202E"/>
    <w:rsid w:val="00A341F2"/>
    <w:rsid w:val="00A5774A"/>
    <w:rsid w:val="00A76669"/>
    <w:rsid w:val="00B93FCA"/>
    <w:rsid w:val="00BA2A83"/>
    <w:rsid w:val="00C00F97"/>
    <w:rsid w:val="00C23BA6"/>
    <w:rsid w:val="00CC5972"/>
    <w:rsid w:val="00CD00AE"/>
    <w:rsid w:val="00D32232"/>
    <w:rsid w:val="00D92504"/>
    <w:rsid w:val="00E5550B"/>
    <w:rsid w:val="00E647B7"/>
    <w:rsid w:val="00E72A0F"/>
    <w:rsid w:val="00E85579"/>
    <w:rsid w:val="00EA2C6B"/>
    <w:rsid w:val="00F02B86"/>
    <w:rsid w:val="00F87DDC"/>
    <w:rsid w:val="00FB704D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A67D26"/>
  <w15:chartTrackingRefBased/>
  <w15:docId w15:val="{01251BDB-17C4-4B88-B934-DA62BCBA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921B17"/>
    <w:pPr>
      <w:outlineLvl w:val="1"/>
    </w:pPr>
    <w:rPr>
      <w:b/>
      <w:bCs/>
      <w:color w:val="003475"/>
      <w:sz w:val="21"/>
      <w:szCs w:val="21"/>
    </w:rPr>
  </w:style>
  <w:style w:type="paragraph" w:styleId="Nadpis3">
    <w:name w:val="heading 3"/>
    <w:basedOn w:val="Normln"/>
    <w:link w:val="Nadpis3Char"/>
    <w:uiPriority w:val="9"/>
    <w:qFormat/>
    <w:rsid w:val="00921B17"/>
    <w:pPr>
      <w:outlineLvl w:val="2"/>
    </w:pPr>
    <w:rPr>
      <w:b/>
      <w:bCs/>
      <w:color w:val="003475"/>
      <w:sz w:val="18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muboldc">
    <w:name w:val="mu_bold_c"/>
    <w:basedOn w:val="Normln"/>
    <w:rsid w:val="00615991"/>
    <w:pPr>
      <w:spacing w:before="100" w:beforeAutospacing="1" w:after="100" w:afterAutospacing="1"/>
      <w:jc w:val="center"/>
    </w:pPr>
    <w:rPr>
      <w:rFonts w:ascii="Verdana" w:hAnsi="Verdana"/>
      <w:b/>
      <w:bCs/>
      <w:sz w:val="14"/>
      <w:szCs w:val="14"/>
    </w:rPr>
  </w:style>
  <w:style w:type="paragraph" w:customStyle="1" w:styleId="munadpis">
    <w:name w:val="mu_nadpis"/>
    <w:basedOn w:val="Normln"/>
    <w:rsid w:val="00615991"/>
    <w:pPr>
      <w:spacing w:before="100" w:beforeAutospacing="1" w:after="100" w:afterAutospacing="1"/>
      <w:jc w:val="center"/>
    </w:pPr>
    <w:rPr>
      <w:rFonts w:ascii="Verdana" w:hAnsi="Verdana"/>
      <w:b/>
      <w:bCs/>
      <w:sz w:val="17"/>
      <w:szCs w:val="17"/>
    </w:rPr>
  </w:style>
  <w:style w:type="paragraph" w:styleId="Normlnweb">
    <w:name w:val="Normal (Web)"/>
    <w:basedOn w:val="Normln"/>
    <w:uiPriority w:val="99"/>
    <w:rsid w:val="00615991"/>
    <w:pPr>
      <w:spacing w:before="100" w:beforeAutospacing="1" w:after="100" w:afterAutospacing="1"/>
    </w:pPr>
  </w:style>
  <w:style w:type="character" w:styleId="Siln">
    <w:name w:val="Strong"/>
    <w:qFormat/>
    <w:rsid w:val="00615991"/>
    <w:rPr>
      <w:b/>
      <w:bCs/>
    </w:rPr>
  </w:style>
  <w:style w:type="character" w:customStyle="1" w:styleId="Nadpis2Char">
    <w:name w:val="Nadpis 2 Char"/>
    <w:link w:val="Nadpis2"/>
    <w:uiPriority w:val="9"/>
    <w:rsid w:val="00921B17"/>
    <w:rPr>
      <w:b/>
      <w:bCs/>
      <w:color w:val="003475"/>
      <w:sz w:val="21"/>
      <w:szCs w:val="21"/>
    </w:rPr>
  </w:style>
  <w:style w:type="character" w:customStyle="1" w:styleId="Nadpis3Char">
    <w:name w:val="Nadpis 3 Char"/>
    <w:link w:val="Nadpis3"/>
    <w:uiPriority w:val="9"/>
    <w:rsid w:val="00921B17"/>
    <w:rPr>
      <w:b/>
      <w:bCs/>
      <w:color w:val="003475"/>
      <w:sz w:val="18"/>
      <w:szCs w:val="18"/>
    </w:rPr>
  </w:style>
  <w:style w:type="paragraph" w:styleId="Textbubliny">
    <w:name w:val="Balloon Text"/>
    <w:basedOn w:val="Normln"/>
    <w:link w:val="TextbublinyChar"/>
    <w:rsid w:val="00051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5197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332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rsid w:val="008758E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58EF"/>
  </w:style>
  <w:style w:type="character" w:styleId="Znakapoznpodarou">
    <w:name w:val="footnote reference"/>
    <w:rsid w:val="008758E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855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0" w:color="39B54A"/>
                <w:bottom w:val="none" w:sz="0" w:space="0" w:color="auto"/>
                <w:right w:val="none" w:sz="0" w:space="0" w:color="auto"/>
              </w:divBdr>
              <w:divsChild>
                <w:div w:id="2387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828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0C08-F321-4085-9A88-B02402EC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3766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Thomas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Procházka</dc:creator>
  <cp:keywords/>
  <cp:lastModifiedBy>Linhartová Kateřina</cp:lastModifiedBy>
  <cp:revision>2</cp:revision>
  <cp:lastPrinted>2024-03-21T12:32:00Z</cp:lastPrinted>
  <dcterms:created xsi:type="dcterms:W3CDTF">2024-03-21T12:33:00Z</dcterms:created>
  <dcterms:modified xsi:type="dcterms:W3CDTF">2024-03-21T12:33:00Z</dcterms:modified>
</cp:coreProperties>
</file>